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688729">
      <w:pPr>
        <w:pStyle w:val="36"/>
        <w:spacing w:before="2200"/>
      </w:pPr>
      <w:r>
        <w:t>无障碍环境建设测评报告 导盲犬入住酒店</w:t>
      </w:r>
    </w:p>
    <w:p w14:paraId="4A161832">
      <w:pPr>
        <w:pStyle w:val="29"/>
      </w:pPr>
      <w:r>
        <w:t>完整报告</w:t>
      </w:r>
    </w:p>
    <w:p w14:paraId="4CAB0A02">
      <w:pPr>
        <w:pStyle w:val="29"/>
      </w:pPr>
      <w:r>
        <w:t>基于30个城市10个经济型连锁酒店品牌的电话调研</w:t>
      </w:r>
    </w:p>
    <w:p w14:paraId="58ABD261">
      <w:r>
        <w:t>出品方：酷残未来研究院</w:t>
      </w:r>
    </w:p>
    <w:p w14:paraId="52B2C368">
      <w:r>
        <w:t>协作机构：一加一融合加速器；金盲杖视障自立生活</w:t>
      </w:r>
    </w:p>
    <w:p w14:paraId="2EFF4366">
      <w:pPr>
        <w:pStyle w:val="171"/>
        <w:pageBreakBefore/>
      </w:pPr>
      <w:r>
        <w:t>出品与鸣谢</w:t>
      </w:r>
    </w:p>
    <w:p w14:paraId="11C978FF">
      <w:r>
        <w:rPr>
          <w:b/>
        </w:rPr>
        <w:t>出品方：</w:t>
      </w:r>
      <w:r>
        <w:t>酷残未来研究院</w:t>
      </w:r>
    </w:p>
    <w:p w14:paraId="79339969">
      <w:r>
        <w:rPr>
          <w:b/>
        </w:rPr>
        <w:t>协作机构：</w:t>
      </w:r>
      <w:r>
        <w:t>一加一融合加速器；金盲杖视障自立生活</w:t>
      </w:r>
    </w:p>
    <w:p w14:paraId="4B915BFC">
      <w:r>
        <w:rPr>
          <w:b/>
        </w:rPr>
        <w:t>研究团队：</w:t>
      </w:r>
      <w:r>
        <w:t>柳嘉慜、李娜、吴凡、宋语欣、关钦、付鹏伟</w:t>
      </w:r>
    </w:p>
    <w:p w14:paraId="2282C2B7">
      <w:r>
        <w:rPr>
          <w:b/>
        </w:rPr>
        <w:t>学术指导：</w:t>
      </w:r>
      <w:r>
        <w:t>谢卓潇</w:t>
      </w:r>
    </w:p>
    <w:p w14:paraId="0D74BD1A">
      <w:r>
        <w:rPr>
          <w:b/>
        </w:rPr>
        <w:t>特别鸣谢：</w:t>
      </w:r>
      <w:r>
        <w:t>范仔伟、黄跃红、贾文杰、王志华、肖佳、周彤</w:t>
      </w:r>
    </w:p>
    <w:p w14:paraId="52874105">
      <w:pPr>
        <w:pStyle w:val="171"/>
        <w:pageBreakBefore/>
      </w:pPr>
      <w:r>
        <w:t>目录</w:t>
      </w:r>
    </w:p>
    <w:p w14:paraId="55DC9651">
      <w:pPr>
        <w:pStyle w:val="28"/>
        <w:tabs>
          <w:tab w:val="right" w:leader="dot" w:pos="8948"/>
        </w:tabs>
        <w:rPr>
          <w:rFonts w:asciiTheme="minorHAnsi" w:hAnsiTheme="minorHAnsi" w:eastAsiaTheme="minorEastAsia"/>
          <w:color w:val="auto"/>
          <w:kern w:val="2"/>
          <w:sz w:val="22"/>
          <w:szCs w:val="24"/>
          <w:lang w:eastAsia="zh-CN"/>
          <w14:ligatures w14:val="standardContextual"/>
        </w:rPr>
      </w:pPr>
      <w:r>
        <w:fldChar w:fldCharType="begin"/>
      </w:r>
      <w:r>
        <w:instrText xml:space="preserve"> TOC \o "1-2" </w:instrText>
      </w:r>
      <w:r>
        <w:fldChar w:fldCharType="separate"/>
      </w:r>
      <w:r>
        <w:t>研究缘起</w:t>
      </w:r>
      <w:r>
        <w:tab/>
      </w:r>
      <w:r>
        <w:fldChar w:fldCharType="begin"/>
      </w:r>
      <w:r>
        <w:instrText xml:space="preserve"> PAGEREF _Toc240635826 \h </w:instrText>
      </w:r>
      <w:r>
        <w:fldChar w:fldCharType="separate"/>
      </w:r>
      <w:r>
        <w:t>4</w:t>
      </w:r>
      <w:r>
        <w:fldChar w:fldCharType="end"/>
      </w:r>
    </w:p>
    <w:p w14:paraId="0A7F73DA">
      <w:pPr>
        <w:pStyle w:val="28"/>
        <w:tabs>
          <w:tab w:val="right" w:leader="dot" w:pos="8948"/>
        </w:tabs>
        <w:rPr>
          <w:rFonts w:asciiTheme="minorHAnsi" w:hAnsiTheme="minorHAnsi" w:eastAsiaTheme="minorEastAsia"/>
          <w:color w:val="auto"/>
          <w:kern w:val="2"/>
          <w:sz w:val="22"/>
          <w:szCs w:val="24"/>
          <w:lang w:eastAsia="zh-CN"/>
          <w14:ligatures w14:val="standardContextual"/>
        </w:rPr>
      </w:pPr>
      <w:r>
        <w:t>主要发现</w:t>
      </w:r>
      <w:r>
        <w:tab/>
      </w:r>
      <w:r>
        <w:fldChar w:fldCharType="begin"/>
      </w:r>
      <w:r>
        <w:instrText xml:space="preserve"> PAGEREF _Toc240635827 \h </w:instrText>
      </w:r>
      <w:r>
        <w:fldChar w:fldCharType="separate"/>
      </w:r>
      <w:r>
        <w:t>5</w:t>
      </w:r>
      <w:r>
        <w:fldChar w:fldCharType="end"/>
      </w:r>
    </w:p>
    <w:p w14:paraId="568C1E2D">
      <w:pPr>
        <w:pStyle w:val="28"/>
        <w:tabs>
          <w:tab w:val="right" w:leader="dot" w:pos="8948"/>
        </w:tabs>
        <w:rPr>
          <w:rFonts w:asciiTheme="minorHAnsi" w:hAnsiTheme="minorHAnsi" w:eastAsiaTheme="minorEastAsia"/>
          <w:color w:val="auto"/>
          <w:kern w:val="2"/>
          <w:sz w:val="22"/>
          <w:szCs w:val="24"/>
          <w:lang w:eastAsia="zh-CN"/>
          <w14:ligatures w14:val="standardContextual"/>
        </w:rPr>
      </w:pPr>
      <w:r>
        <w:rPr>
          <w:rFonts w:ascii="宋体" w:hAnsi="宋体" w:eastAsia="宋体"/>
        </w:rPr>
        <w:t>第一章 研究发现</w:t>
      </w:r>
      <w:r>
        <w:tab/>
      </w:r>
      <w:r>
        <w:fldChar w:fldCharType="begin"/>
      </w:r>
      <w:r>
        <w:instrText xml:space="preserve"> PAGEREF _Toc240635828 \h </w:instrText>
      </w:r>
      <w:r>
        <w:fldChar w:fldCharType="separate"/>
      </w:r>
      <w:r>
        <w:t>6</w:t>
      </w:r>
      <w:r>
        <w:fldChar w:fldCharType="end"/>
      </w:r>
    </w:p>
    <w:p w14:paraId="586E9616">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一 总体接纳结果</w:t>
      </w:r>
      <w:r>
        <w:tab/>
      </w:r>
      <w:r>
        <w:fldChar w:fldCharType="begin"/>
      </w:r>
      <w:r>
        <w:instrText xml:space="preserve"> PAGEREF _Toc240635829 \h </w:instrText>
      </w:r>
      <w:r>
        <w:fldChar w:fldCharType="separate"/>
      </w:r>
      <w:r>
        <w:t>6</w:t>
      </w:r>
      <w:r>
        <w:fldChar w:fldCharType="end"/>
      </w:r>
    </w:p>
    <w:p w14:paraId="2580BFDB">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二 最终拒绝</w:t>
      </w:r>
      <w:r>
        <w:tab/>
      </w:r>
      <w:r>
        <w:fldChar w:fldCharType="begin"/>
      </w:r>
      <w:r>
        <w:instrText xml:space="preserve"> PAGEREF _Toc240635830 \h </w:instrText>
      </w:r>
      <w:r>
        <w:fldChar w:fldCharType="separate"/>
      </w:r>
      <w:r>
        <w:t>6</w:t>
      </w:r>
      <w:r>
        <w:fldChar w:fldCharType="end"/>
      </w:r>
    </w:p>
    <w:p w14:paraId="574D03AF">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三 沟通负担</w:t>
      </w:r>
      <w:r>
        <w:tab/>
      </w:r>
      <w:r>
        <w:fldChar w:fldCharType="begin"/>
      </w:r>
      <w:r>
        <w:instrText xml:space="preserve"> PAGEREF _Toc240635831 \h </w:instrText>
      </w:r>
      <w:r>
        <w:fldChar w:fldCharType="separate"/>
      </w:r>
      <w:r>
        <w:t>7</w:t>
      </w:r>
      <w:r>
        <w:fldChar w:fldCharType="end"/>
      </w:r>
    </w:p>
    <w:p w14:paraId="40932338">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四 附带条件接纳</w:t>
      </w:r>
      <w:r>
        <w:tab/>
      </w:r>
      <w:r>
        <w:fldChar w:fldCharType="begin"/>
      </w:r>
      <w:r>
        <w:instrText xml:space="preserve"> PAGEREF _Toc240635832 \h </w:instrText>
      </w:r>
      <w:r>
        <w:fldChar w:fldCharType="separate"/>
      </w:r>
      <w:r>
        <w:t>8</w:t>
      </w:r>
      <w:r>
        <w:fldChar w:fldCharType="end"/>
      </w:r>
    </w:p>
    <w:p w14:paraId="67BB0298">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五 预订安排中仍需确认的事项</w:t>
      </w:r>
      <w:r>
        <w:tab/>
      </w:r>
      <w:r>
        <w:fldChar w:fldCharType="begin"/>
      </w:r>
      <w:r>
        <w:instrText xml:space="preserve"> PAGEREF _Toc240635833 \h </w:instrText>
      </w:r>
      <w:r>
        <w:fldChar w:fldCharType="separate"/>
      </w:r>
      <w:r>
        <w:t>8</w:t>
      </w:r>
      <w:r>
        <w:fldChar w:fldCharType="end"/>
      </w:r>
    </w:p>
    <w:p w14:paraId="0C5F669A">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六 品牌与城市的接待差异</w:t>
      </w:r>
      <w:r>
        <w:tab/>
      </w:r>
      <w:r>
        <w:fldChar w:fldCharType="begin"/>
      </w:r>
      <w:r>
        <w:instrText xml:space="preserve"> PAGEREF _Toc240635834 \h </w:instrText>
      </w:r>
      <w:r>
        <w:fldChar w:fldCharType="separate"/>
      </w:r>
      <w:r>
        <w:t>9</w:t>
      </w:r>
      <w:r>
        <w:fldChar w:fldCharType="end"/>
      </w:r>
    </w:p>
    <w:p w14:paraId="42EFCC34">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七 研究发现小结</w:t>
      </w:r>
      <w:r>
        <w:tab/>
      </w:r>
      <w:r>
        <w:fldChar w:fldCharType="begin"/>
      </w:r>
      <w:r>
        <w:instrText xml:space="preserve"> PAGEREF _Toc240635835 \h </w:instrText>
      </w:r>
      <w:r>
        <w:fldChar w:fldCharType="separate"/>
      </w:r>
      <w:r>
        <w:t>15</w:t>
      </w:r>
      <w:r>
        <w:fldChar w:fldCharType="end"/>
      </w:r>
    </w:p>
    <w:p w14:paraId="0479D1D1">
      <w:pPr>
        <w:pStyle w:val="28"/>
        <w:tabs>
          <w:tab w:val="right" w:leader="dot" w:pos="8948"/>
        </w:tabs>
        <w:rPr>
          <w:rFonts w:asciiTheme="minorHAnsi" w:hAnsiTheme="minorHAnsi" w:eastAsiaTheme="minorEastAsia"/>
          <w:color w:val="auto"/>
          <w:kern w:val="2"/>
          <w:sz w:val="22"/>
          <w:szCs w:val="24"/>
          <w:lang w:eastAsia="zh-CN"/>
          <w14:ligatures w14:val="standardContextual"/>
        </w:rPr>
      </w:pPr>
      <w:r>
        <w:rPr>
          <w:rFonts w:ascii="宋体" w:hAnsi="宋体" w:eastAsia="宋体"/>
        </w:rPr>
        <w:t>第二章 原因分析</w:t>
      </w:r>
      <w:r>
        <w:tab/>
      </w:r>
      <w:r>
        <w:fldChar w:fldCharType="begin"/>
      </w:r>
      <w:r>
        <w:instrText xml:space="preserve"> PAGEREF _Toc240635836 \h </w:instrText>
      </w:r>
      <w:r>
        <w:fldChar w:fldCharType="separate"/>
      </w:r>
      <w:r>
        <w:t>16</w:t>
      </w:r>
      <w:r>
        <w:fldChar w:fldCharType="end"/>
      </w:r>
    </w:p>
    <w:p w14:paraId="5072FA1E">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宋体" w:hAnsi="宋体"/>
        </w:rPr>
        <w:t>一 制度与信息传递</w:t>
      </w:r>
      <w:r>
        <w:tab/>
      </w:r>
      <w:r>
        <w:fldChar w:fldCharType="begin"/>
      </w:r>
      <w:r>
        <w:instrText xml:space="preserve"> PAGEREF _Toc240635837 \h </w:instrText>
      </w:r>
      <w:r>
        <w:fldChar w:fldCharType="separate"/>
      </w:r>
      <w:r>
        <w:t>16</w:t>
      </w:r>
      <w:r>
        <w:fldChar w:fldCharType="end"/>
      </w:r>
    </w:p>
    <w:p w14:paraId="65F23DC4">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宋体" w:hAnsi="宋体"/>
        </w:rPr>
        <w:t>二 一线认知与风险判断</w:t>
      </w:r>
      <w:r>
        <w:tab/>
      </w:r>
      <w:r>
        <w:fldChar w:fldCharType="begin"/>
      </w:r>
      <w:r>
        <w:instrText xml:space="preserve"> PAGEREF _Toc240635838 \h </w:instrText>
      </w:r>
      <w:r>
        <w:fldChar w:fldCharType="separate"/>
      </w:r>
      <w:r>
        <w:t>19</w:t>
      </w:r>
      <w:r>
        <w:fldChar w:fldCharType="end"/>
      </w:r>
    </w:p>
    <w:p w14:paraId="1938857C">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宋体" w:hAnsi="宋体"/>
        </w:rPr>
        <w:t>三 三类服务结果的形成机制</w:t>
      </w:r>
      <w:r>
        <w:tab/>
      </w:r>
      <w:r>
        <w:fldChar w:fldCharType="begin"/>
      </w:r>
      <w:r>
        <w:instrText xml:space="preserve"> PAGEREF _Toc240635839 \h </w:instrText>
      </w:r>
      <w:r>
        <w:fldChar w:fldCharType="separate"/>
      </w:r>
      <w:r>
        <w:t>21</w:t>
      </w:r>
      <w:r>
        <w:fldChar w:fldCharType="end"/>
      </w:r>
    </w:p>
    <w:p w14:paraId="2865B480">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宋体" w:hAnsi="宋体"/>
        </w:rPr>
        <w:t>四 原因分析小结</w:t>
      </w:r>
      <w:r>
        <w:tab/>
      </w:r>
      <w:r>
        <w:fldChar w:fldCharType="begin"/>
      </w:r>
      <w:r>
        <w:instrText xml:space="preserve"> PAGEREF _Toc240635840 \h </w:instrText>
      </w:r>
      <w:r>
        <w:fldChar w:fldCharType="separate"/>
      </w:r>
      <w:r>
        <w:t>22</w:t>
      </w:r>
      <w:r>
        <w:fldChar w:fldCharType="end"/>
      </w:r>
    </w:p>
    <w:p w14:paraId="60CA4CCB">
      <w:pPr>
        <w:pStyle w:val="28"/>
        <w:tabs>
          <w:tab w:val="right" w:leader="dot" w:pos="8948"/>
        </w:tabs>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lang w:eastAsia="zh-CN"/>
        </w:rPr>
        <w:t>第三章 改进建议</w:t>
      </w:r>
      <w:r>
        <w:tab/>
      </w:r>
      <w:r>
        <w:fldChar w:fldCharType="begin"/>
      </w:r>
      <w:r>
        <w:instrText xml:space="preserve"> PAGEREF _Toc240635841 \h </w:instrText>
      </w:r>
      <w:r>
        <w:fldChar w:fldCharType="separate"/>
      </w:r>
      <w:r>
        <w:t>23</w:t>
      </w:r>
      <w:r>
        <w:fldChar w:fldCharType="end"/>
      </w:r>
    </w:p>
    <w:p w14:paraId="4BF0EDB9">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一 合规底线与行动优先级</w:t>
      </w:r>
      <w:r>
        <w:tab/>
      </w:r>
      <w:r>
        <w:fldChar w:fldCharType="begin"/>
      </w:r>
      <w:r>
        <w:instrText xml:space="preserve"> PAGEREF _Toc240635842 \h </w:instrText>
      </w:r>
      <w:r>
        <w:fldChar w:fldCharType="separate"/>
      </w:r>
      <w:r>
        <w:t>23</w:t>
      </w:r>
      <w:r>
        <w:fldChar w:fldCharType="end"/>
      </w:r>
    </w:p>
    <w:p w14:paraId="74DCB436">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二 酒店集团总部</w:t>
      </w:r>
      <w:r>
        <w:tab/>
      </w:r>
      <w:r>
        <w:fldChar w:fldCharType="begin"/>
      </w:r>
      <w:r>
        <w:instrText xml:space="preserve"> PAGEREF _Toc240635843 \h </w:instrText>
      </w:r>
      <w:r>
        <w:fldChar w:fldCharType="separate"/>
      </w:r>
      <w:r>
        <w:t>24</w:t>
      </w:r>
      <w:r>
        <w:fldChar w:fldCharType="end"/>
      </w:r>
    </w:p>
    <w:p w14:paraId="51FA6BEF">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三 酒店门店</w:t>
      </w:r>
      <w:r>
        <w:tab/>
      </w:r>
      <w:r>
        <w:fldChar w:fldCharType="begin"/>
      </w:r>
      <w:r>
        <w:instrText xml:space="preserve"> PAGEREF _Toc240635844 \h </w:instrText>
      </w:r>
      <w:r>
        <w:fldChar w:fldCharType="separate"/>
      </w:r>
      <w:r>
        <w:t>25</w:t>
      </w:r>
      <w:r>
        <w:fldChar w:fldCharType="end"/>
      </w:r>
    </w:p>
    <w:p w14:paraId="0F0B9475">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四 预订平台</w:t>
      </w:r>
      <w:r>
        <w:tab/>
      </w:r>
      <w:r>
        <w:fldChar w:fldCharType="begin"/>
      </w:r>
      <w:r>
        <w:instrText xml:space="preserve"> PAGEREF _Toc240635845 \h </w:instrText>
      </w:r>
      <w:r>
        <w:fldChar w:fldCharType="separate"/>
      </w:r>
      <w:r>
        <w:t>26</w:t>
      </w:r>
      <w:r>
        <w:fldChar w:fldCharType="end"/>
      </w:r>
    </w:p>
    <w:p w14:paraId="4A4AFDCE">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五 公共部门</w:t>
      </w:r>
      <w:r>
        <w:tab/>
      </w:r>
      <w:r>
        <w:fldChar w:fldCharType="begin"/>
      </w:r>
      <w:r>
        <w:instrText xml:space="preserve"> PAGEREF _Toc240635846 \h </w:instrText>
      </w:r>
      <w:r>
        <w:fldChar w:fldCharType="separate"/>
      </w:r>
      <w:r>
        <w:t>27</w:t>
      </w:r>
      <w:r>
        <w:fldChar w:fldCharType="end"/>
      </w:r>
    </w:p>
    <w:p w14:paraId="39F7B59B">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六 公众与行业组织</w:t>
      </w:r>
      <w:r>
        <w:tab/>
      </w:r>
      <w:r>
        <w:fldChar w:fldCharType="begin"/>
      </w:r>
      <w:r>
        <w:instrText xml:space="preserve"> PAGEREF _Toc240635847 \h </w:instrText>
      </w:r>
      <w:r>
        <w:fldChar w:fldCharType="separate"/>
      </w:r>
      <w:r>
        <w:t>28</w:t>
      </w:r>
      <w:r>
        <w:fldChar w:fldCharType="end"/>
      </w:r>
    </w:p>
    <w:p w14:paraId="6EFED91E">
      <w:pPr>
        <w:pStyle w:val="28"/>
        <w:tabs>
          <w:tab w:val="right" w:leader="dot" w:pos="8948"/>
        </w:tabs>
        <w:rPr>
          <w:rFonts w:asciiTheme="minorHAnsi" w:hAnsiTheme="minorHAnsi" w:eastAsiaTheme="minorEastAsia"/>
          <w:color w:val="auto"/>
          <w:kern w:val="2"/>
          <w:sz w:val="22"/>
          <w:szCs w:val="24"/>
          <w:lang w:eastAsia="zh-CN"/>
          <w14:ligatures w14:val="standardContextual"/>
        </w:rPr>
      </w:pPr>
      <w:r>
        <w:t>附录</w:t>
      </w:r>
      <w:r>
        <w:tab/>
      </w:r>
      <w:r>
        <w:fldChar w:fldCharType="begin"/>
      </w:r>
      <w:r>
        <w:instrText xml:space="preserve"> PAGEREF _Toc240635848 \h </w:instrText>
      </w:r>
      <w:r>
        <w:fldChar w:fldCharType="separate"/>
      </w:r>
      <w:r>
        <w:t>29</w:t>
      </w:r>
      <w:r>
        <w:fldChar w:fldCharType="end"/>
      </w:r>
    </w:p>
    <w:p w14:paraId="41DC3D9F">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一 研究方法</w:t>
      </w:r>
      <w:r>
        <w:tab/>
      </w:r>
      <w:r>
        <w:fldChar w:fldCharType="begin"/>
      </w:r>
      <w:r>
        <w:instrText xml:space="preserve"> PAGEREF _Toc240635849 \h </w:instrText>
      </w:r>
      <w:r>
        <w:fldChar w:fldCharType="separate"/>
      </w:r>
      <w:r>
        <w:t>29</w:t>
      </w:r>
      <w:r>
        <w:fldChar w:fldCharType="end"/>
      </w:r>
    </w:p>
    <w:p w14:paraId="3934E1FE">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二 测评指标与编码规则</w:t>
      </w:r>
      <w:r>
        <w:tab/>
      </w:r>
      <w:r>
        <w:fldChar w:fldCharType="begin"/>
      </w:r>
      <w:r>
        <w:instrText xml:space="preserve"> PAGEREF _Toc240635850 \h </w:instrText>
      </w:r>
      <w:r>
        <w:fldChar w:fldCharType="separate"/>
      </w:r>
      <w:r>
        <w:t>32</w:t>
      </w:r>
      <w:r>
        <w:fldChar w:fldCharType="end"/>
      </w:r>
    </w:p>
    <w:p w14:paraId="3CCE8FF6">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三 数据来源与排名解释</w:t>
      </w:r>
      <w:r>
        <w:tab/>
      </w:r>
      <w:r>
        <w:fldChar w:fldCharType="begin"/>
      </w:r>
      <w:r>
        <w:instrText xml:space="preserve"> PAGEREF _Toc240635851 \h </w:instrText>
      </w:r>
      <w:r>
        <w:fldChar w:fldCharType="separate"/>
      </w:r>
      <w:r>
        <w:t>36</w:t>
      </w:r>
      <w:r>
        <w:fldChar w:fldCharType="end"/>
      </w:r>
    </w:p>
    <w:p w14:paraId="5B759D2B">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四 城市样本明细</w:t>
      </w:r>
      <w:r>
        <w:tab/>
      </w:r>
      <w:r>
        <w:fldChar w:fldCharType="begin"/>
      </w:r>
      <w:r>
        <w:instrText xml:space="preserve"> PAGEREF _Toc240635852 \h </w:instrText>
      </w:r>
      <w:r>
        <w:fldChar w:fldCharType="separate"/>
      </w:r>
      <w:r>
        <w:t>37</w:t>
      </w:r>
      <w:r>
        <w:fldChar w:fldCharType="end"/>
      </w:r>
    </w:p>
    <w:p w14:paraId="4A1B5B6E">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五 公众遇拒行动卡</w:t>
      </w:r>
      <w:r>
        <w:tab/>
      </w:r>
      <w:r>
        <w:fldChar w:fldCharType="begin"/>
      </w:r>
      <w:r>
        <w:instrText xml:space="preserve"> PAGEREF _Toc240635853 \h </w:instrText>
      </w:r>
      <w:r>
        <w:fldChar w:fldCharType="separate"/>
      </w:r>
      <w:r>
        <w:t>40</w:t>
      </w:r>
      <w:r>
        <w:fldChar w:fldCharType="end"/>
      </w:r>
    </w:p>
    <w:p w14:paraId="168F5884">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六 酒店操作工具</w:t>
      </w:r>
      <w:r>
        <w:tab/>
      </w:r>
      <w:r>
        <w:fldChar w:fldCharType="begin"/>
      </w:r>
      <w:r>
        <w:instrText xml:space="preserve"> PAGEREF _Toc240635854 \h </w:instrText>
      </w:r>
      <w:r>
        <w:fldChar w:fldCharType="separate"/>
      </w:r>
      <w:r>
        <w:t>41</w:t>
      </w:r>
      <w:r>
        <w:fldChar w:fldCharType="end"/>
      </w:r>
    </w:p>
    <w:p w14:paraId="1443735B">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rPr>
          <w:rFonts w:ascii="Times New Roman" w:hAnsi="Times New Roman" w:eastAsia="黑体"/>
        </w:rPr>
        <w:t>七 后续研究方向</w:t>
      </w:r>
      <w:r>
        <w:tab/>
      </w:r>
      <w:r>
        <w:fldChar w:fldCharType="begin"/>
      </w:r>
      <w:r>
        <w:instrText xml:space="preserve"> PAGEREF _Toc240635855 \h </w:instrText>
      </w:r>
      <w:r>
        <w:fldChar w:fldCharType="separate"/>
      </w:r>
      <w:r>
        <w:t>46</w:t>
      </w:r>
      <w:r>
        <w:fldChar w:fldCharType="end"/>
      </w:r>
    </w:p>
    <w:p w14:paraId="7AAD34C2">
      <w:pPr>
        <w:pStyle w:val="31"/>
        <w:tabs>
          <w:tab w:val="right" w:leader="dot" w:pos="8948"/>
        </w:tabs>
        <w:ind w:left="420"/>
        <w:rPr>
          <w:rFonts w:asciiTheme="minorHAnsi" w:hAnsiTheme="minorHAnsi" w:eastAsiaTheme="minorEastAsia"/>
          <w:color w:val="auto"/>
          <w:kern w:val="2"/>
          <w:sz w:val="22"/>
          <w:szCs w:val="24"/>
          <w:lang w:eastAsia="zh-CN"/>
          <w14:ligatures w14:val="standardContextual"/>
        </w:rPr>
      </w:pPr>
      <w:r>
        <w:t>八 参考资料</w:t>
      </w:r>
      <w:r>
        <w:tab/>
      </w:r>
      <w:r>
        <w:fldChar w:fldCharType="begin"/>
      </w:r>
      <w:r>
        <w:instrText xml:space="preserve"> PAGEREF _Toc240635856 \h </w:instrText>
      </w:r>
      <w:r>
        <w:fldChar w:fldCharType="separate"/>
      </w:r>
      <w:r>
        <w:t>47</w:t>
      </w:r>
      <w:r>
        <w:fldChar w:fldCharType="end"/>
      </w:r>
    </w:p>
    <w:p w14:paraId="6020D9C1">
      <w:r>
        <w:fldChar w:fldCharType="end"/>
      </w:r>
    </w:p>
    <w:p w14:paraId="674EA7FD">
      <w:pPr>
        <w:pStyle w:val="3"/>
        <w:pageBreakBefore/>
      </w:pPr>
      <w:bookmarkStart w:id="0" w:name="_Toc240635826"/>
      <w:r>
        <w:t>研究缘起</w:t>
      </w:r>
      <w:bookmarkEnd w:id="0"/>
    </w:p>
    <w:p w14:paraId="4EDA536D">
      <w:pPr>
        <w:rPr>
          <w:lang w:eastAsia="zh-CN"/>
        </w:rPr>
      </w:pPr>
      <w:r>
        <w:t>对导盲犬使用者来说，</w:t>
      </w:r>
      <w:r>
        <w:rPr>
          <w:rFonts w:hint="eastAsia"/>
          <w:lang w:eastAsia="zh-CN"/>
        </w:rPr>
        <w:t>因出差或旅游需要</w:t>
      </w:r>
      <w:r>
        <w:t>预订酒店时</w:t>
      </w:r>
      <w:r>
        <w:rPr>
          <w:rFonts w:hint="eastAsia"/>
          <w:lang w:eastAsia="zh-CN"/>
        </w:rPr>
        <w:t>，</w:t>
      </w:r>
      <w:r>
        <w:t>除了价格、位置和房型，还常常要先确认</w:t>
      </w:r>
      <w:r>
        <w:rPr>
          <w:rFonts w:hint="eastAsia"/>
          <w:lang w:eastAsia="zh-CN"/>
        </w:rPr>
        <w:t>酒店</w:t>
      </w:r>
      <w:r>
        <w:t>是否</w:t>
      </w:r>
      <w:r>
        <w:rPr>
          <w:rFonts w:hint="eastAsia"/>
          <w:lang w:eastAsia="zh-CN"/>
        </w:rPr>
        <w:t>允许</w:t>
      </w:r>
      <w:r>
        <w:t>携带导盲犬入住。</w:t>
      </w:r>
      <w:r>
        <w:rPr>
          <w:rFonts w:hint="eastAsia"/>
          <w:lang w:eastAsia="zh-CN"/>
        </w:rPr>
        <w:t>作为一家残障自组织研究机构，我们的同事和社群伙伴中就有导盲犬使用者，在预订酒店这件事上，不少人都会</w:t>
      </w:r>
      <w:r>
        <w:t>提前</w:t>
      </w:r>
      <w:r>
        <w:rPr>
          <w:rFonts w:hint="eastAsia"/>
          <w:lang w:eastAsia="zh-CN"/>
        </w:rPr>
        <w:t>给酒店前台</w:t>
      </w:r>
      <w:r>
        <w:t>打电话</w:t>
      </w:r>
      <w:r>
        <w:rPr>
          <w:rFonts w:hint="eastAsia"/>
          <w:lang w:eastAsia="zh-CN"/>
        </w:rPr>
        <w:t>确认导盲犬是否可以同行入住</w:t>
      </w:r>
      <w:r>
        <w:t>。有人在电话中得到同意，到店后</w:t>
      </w:r>
      <w:r>
        <w:rPr>
          <w:rFonts w:hint="eastAsia"/>
          <w:lang w:val="en-US" w:eastAsia="zh-CN"/>
        </w:rPr>
        <w:t>却</w:t>
      </w:r>
      <w:r>
        <w:t>仍需要重新解释、等待确认，</w:t>
      </w:r>
      <w:r>
        <w:rPr>
          <w:rFonts w:hint="eastAsia"/>
          <w:lang w:eastAsia="zh-CN"/>
        </w:rPr>
        <w:t>也有不少人在到店后</w:t>
      </w:r>
      <w:r>
        <w:rPr>
          <w:rFonts w:hint="eastAsia"/>
          <w:lang w:val="en-US" w:eastAsia="zh-CN"/>
        </w:rPr>
        <w:t>仍然</w:t>
      </w:r>
      <w:r>
        <w:t>遭到拒绝。</w:t>
      </w:r>
    </w:p>
    <w:p w14:paraId="2CB68313">
      <w:pPr>
        <w:rPr>
          <w:rFonts w:hint="default"/>
          <w:lang w:val="en-US" w:eastAsia="zh-CN"/>
        </w:rPr>
      </w:pPr>
      <w:r>
        <w:rPr>
          <w:rFonts w:hint="eastAsia"/>
          <w:lang w:eastAsia="zh-CN"/>
        </w:rPr>
        <w:t>提前</w:t>
      </w:r>
      <w:r>
        <w:rPr>
          <w:rFonts w:hint="eastAsia"/>
          <w:lang w:val="en-US" w:eastAsia="zh-CN"/>
        </w:rPr>
        <w:t>给酒店</w:t>
      </w:r>
      <w:r>
        <w:rPr>
          <w:rFonts w:hint="eastAsia"/>
          <w:lang w:eastAsia="zh-CN"/>
        </w:rPr>
        <w:t>打电话，是这些使用者应对接待不确定性的一种办法。他们会询问</w:t>
      </w:r>
      <w:r>
        <w:rPr>
          <w:rFonts w:hint="eastAsia"/>
          <w:lang w:val="en-US" w:eastAsia="zh-CN"/>
        </w:rPr>
        <w:t>酒店是否允许</w:t>
      </w:r>
      <w:r>
        <w:rPr>
          <w:rFonts w:hint="eastAsia"/>
          <w:lang w:eastAsia="zh-CN"/>
        </w:rPr>
        <w:t>导盲犬</w:t>
      </w:r>
      <w:r>
        <w:rPr>
          <w:rFonts w:hint="eastAsia"/>
          <w:lang w:val="en-US" w:eastAsia="zh-CN"/>
        </w:rPr>
        <w:t>入住</w:t>
      </w:r>
      <w:r>
        <w:rPr>
          <w:rFonts w:hint="eastAsia"/>
          <w:lang w:eastAsia="zh-CN"/>
        </w:rPr>
        <w:t>、</w:t>
      </w:r>
      <w:r>
        <w:rPr>
          <w:rFonts w:hint="eastAsia"/>
          <w:lang w:val="en-US" w:eastAsia="zh-CN"/>
        </w:rPr>
        <w:t>使用者</w:t>
      </w:r>
      <w:r>
        <w:rPr>
          <w:rFonts w:hint="eastAsia"/>
          <w:lang w:eastAsia="zh-CN"/>
        </w:rPr>
        <w:t>需要准备哪些</w:t>
      </w:r>
      <w:r>
        <w:rPr>
          <w:rFonts w:hint="eastAsia"/>
          <w:lang w:val="en-US" w:eastAsia="zh-CN"/>
        </w:rPr>
        <w:t>证明</w:t>
      </w:r>
      <w:r>
        <w:rPr>
          <w:rFonts w:hint="eastAsia"/>
          <w:lang w:eastAsia="zh-CN"/>
        </w:rPr>
        <w:t>材料，遇到</w:t>
      </w:r>
      <w:r>
        <w:rPr>
          <w:rFonts w:hint="eastAsia"/>
          <w:lang w:val="en-US" w:eastAsia="zh-CN"/>
        </w:rPr>
        <w:t>酒店工作人员</w:t>
      </w:r>
      <w:r>
        <w:rPr>
          <w:rFonts w:hint="eastAsia"/>
          <w:lang w:eastAsia="zh-CN"/>
        </w:rPr>
        <w:t>含糊或拒绝</w:t>
      </w:r>
      <w:r>
        <w:rPr>
          <w:rFonts w:hint="eastAsia"/>
          <w:lang w:val="en-US" w:eastAsia="zh-CN"/>
        </w:rPr>
        <w:t>入住</w:t>
      </w:r>
      <w:r>
        <w:rPr>
          <w:rFonts w:hint="eastAsia"/>
          <w:lang w:eastAsia="zh-CN"/>
        </w:rPr>
        <w:t>的答复时，再决定是否继续</w:t>
      </w:r>
      <w:r>
        <w:rPr>
          <w:rFonts w:hint="eastAsia"/>
          <w:lang w:val="en-US" w:eastAsia="zh-CN"/>
        </w:rPr>
        <w:t>倡导、</w:t>
      </w:r>
      <w:r>
        <w:rPr>
          <w:rFonts w:hint="eastAsia"/>
          <w:lang w:eastAsia="zh-CN"/>
        </w:rPr>
        <w:t>解释</w:t>
      </w:r>
      <w:r>
        <w:rPr>
          <w:rFonts w:hint="eastAsia"/>
          <w:lang w:val="en-US" w:eastAsia="zh-CN"/>
        </w:rPr>
        <w:t>自身拥有的权利，或</w:t>
      </w:r>
      <w:r>
        <w:rPr>
          <w:rFonts w:hint="eastAsia"/>
          <w:lang w:eastAsia="zh-CN"/>
        </w:rPr>
        <w:t>联系负责人</w:t>
      </w:r>
      <w:r>
        <w:rPr>
          <w:rFonts w:hint="eastAsia"/>
          <w:lang w:val="en-US" w:eastAsia="zh-CN"/>
        </w:rPr>
        <w:t>以及</w:t>
      </w:r>
      <w:r>
        <w:rPr>
          <w:rFonts w:hint="eastAsia"/>
          <w:lang w:eastAsia="zh-CN"/>
        </w:rPr>
        <w:t>另找酒店。从团队成员和社群伙伴的经历看，电话里已经说明的需求，到店后有时仍要重新解释，</w:t>
      </w:r>
      <w:r>
        <w:rPr>
          <w:rFonts w:hint="eastAsia"/>
          <w:lang w:val="en-US" w:eastAsia="zh-CN"/>
        </w:rPr>
        <w:t>即使</w:t>
      </w:r>
      <w:r>
        <w:rPr>
          <w:rFonts w:hint="eastAsia"/>
          <w:lang w:eastAsia="zh-CN"/>
        </w:rPr>
        <w:t>不提前联系</w:t>
      </w:r>
      <w:r>
        <w:rPr>
          <w:rFonts w:hint="eastAsia"/>
          <w:lang w:val="en-US" w:eastAsia="zh-CN"/>
        </w:rPr>
        <w:t>酒店前台</w:t>
      </w:r>
      <w:r>
        <w:rPr>
          <w:rFonts w:hint="eastAsia"/>
          <w:lang w:eastAsia="zh-CN"/>
        </w:rPr>
        <w:t>，也可能需要现场协商。</w:t>
      </w:r>
    </w:p>
    <w:p w14:paraId="7DA23BBC">
      <w:r>
        <w:rPr>
          <w:rFonts w:hint="eastAsia"/>
          <w:lang w:eastAsia="zh-CN"/>
        </w:rPr>
        <w:t>导盲犬协助视障者独立出行。对依靠导盲犬行动的住客来说，确认它能否同行，与安排自己的住宿直接相关。</w:t>
      </w:r>
    </w:p>
    <w:p w14:paraId="28BF65A6">
      <w:pPr>
        <w:rPr>
          <w:lang w:eastAsia="zh-CN"/>
        </w:rPr>
      </w:pPr>
      <w:r>
        <w:rPr>
          <w:rFonts w:hint="eastAsia"/>
          <w:lang w:eastAsia="zh-CN"/>
        </w:rPr>
        <w:t>2023年出台的《中华人民共和国无障碍环境建设法》要求公共场所</w:t>
      </w:r>
      <w:r>
        <w:t>经营管理单位为残疾人携带导盲犬等服务犬提供便利。</w:t>
      </w:r>
      <w:r>
        <w:rPr>
          <w:rFonts w:hint="eastAsia"/>
          <w:lang w:val="en-US" w:eastAsia="zh-CN"/>
        </w:rPr>
        <w:t>这些法律规定能否按照法的精神公正地执行，使其促进残障人士的平等的社会参与，需要完善的社会服务体系作为支撑。比如面对导盲犬使用者的住店需求，能否在与其他人平等的基础上顺利得到满足，要看酒店方等服务提供者是否具有相应的接待规则和处理流程。</w:t>
      </w:r>
    </w:p>
    <w:p w14:paraId="62B4889F">
      <w:pPr>
        <w:rPr>
          <w:rFonts w:hint="eastAsia"/>
          <w:lang w:eastAsia="zh-CN"/>
        </w:rPr>
      </w:pPr>
      <w:r>
        <w:rPr>
          <w:rFonts w:hint="eastAsia"/>
          <w:lang w:eastAsia="zh-CN"/>
        </w:rPr>
        <w:t>作为残障自组织，我们希望弄清楚，</w:t>
      </w:r>
      <w:r>
        <w:rPr>
          <w:rFonts w:hint="eastAsia"/>
          <w:lang w:val="en-US" w:eastAsia="zh-CN"/>
        </w:rPr>
        <w:t>导盲犬使用者入住酒店的</w:t>
      </w:r>
      <w:r>
        <w:rPr>
          <w:rFonts w:hint="eastAsia"/>
          <w:lang w:eastAsia="zh-CN"/>
        </w:rPr>
        <w:t>不确定性</w:t>
      </w:r>
      <w:r>
        <w:rPr>
          <w:rFonts w:hint="eastAsia"/>
          <w:lang w:val="en-US" w:eastAsia="zh-CN"/>
        </w:rPr>
        <w:t>为什么会</w:t>
      </w:r>
      <w:r>
        <w:rPr>
          <w:rFonts w:hint="eastAsia"/>
          <w:lang w:eastAsia="zh-CN"/>
        </w:rPr>
        <w:t>出现，</w:t>
      </w:r>
      <w:r>
        <w:rPr>
          <w:rFonts w:hint="eastAsia"/>
          <w:lang w:val="en-US" w:eastAsia="zh-CN"/>
        </w:rPr>
        <w:t>是哪些</w:t>
      </w:r>
      <w:r>
        <w:rPr>
          <w:rFonts w:hint="eastAsia"/>
          <w:lang w:eastAsia="zh-CN"/>
        </w:rPr>
        <w:t>接待环节</w:t>
      </w:r>
      <w:r>
        <w:rPr>
          <w:rFonts w:hint="eastAsia"/>
          <w:lang w:val="en-US" w:eastAsia="zh-CN"/>
        </w:rPr>
        <w:t>出了问题</w:t>
      </w:r>
      <w:r>
        <w:rPr>
          <w:rFonts w:hint="eastAsia"/>
          <w:lang w:eastAsia="zh-CN"/>
        </w:rPr>
        <w:t>：门店是否了解有关规定，工作人员遇到不熟悉的需求时向谁确认，不同门店为什么会给出不同答复。</w:t>
      </w:r>
    </w:p>
    <w:p w14:paraId="36AD57EC">
      <w:pPr>
        <w:rPr>
          <w:rFonts w:hint="eastAsia"/>
          <w:lang w:val="en-US" w:eastAsia="zh-CN"/>
        </w:rPr>
      </w:pPr>
      <w:r>
        <w:rPr>
          <w:rFonts w:hint="eastAsia"/>
          <w:lang w:val="en-US" w:eastAsia="zh-CN"/>
        </w:rPr>
        <w:t>为什么法律层面的规定和导盲犬使用者的日常生活体验差距如此之大？</w:t>
      </w:r>
      <w:r>
        <w:rPr>
          <w:rFonts w:hint="eastAsia"/>
          <w:lang w:eastAsia="zh-CN"/>
        </w:rPr>
        <w:t>据此</w:t>
      </w:r>
      <w:r>
        <w:rPr>
          <w:rFonts w:hint="eastAsia"/>
          <w:lang w:val="en-US" w:eastAsia="zh-CN"/>
        </w:rPr>
        <w:t>酷残未来研究院联合一加一残障融合加速器和金盲杖自立生活</w:t>
      </w:r>
      <w:r>
        <w:rPr>
          <w:rFonts w:hint="eastAsia"/>
          <w:lang w:eastAsia="zh-CN"/>
        </w:rPr>
        <w:t>开展电话调查，了解</w:t>
      </w:r>
      <w:r>
        <w:rPr>
          <w:rFonts w:hint="eastAsia"/>
          <w:lang w:val="en-US" w:eastAsia="zh-CN"/>
        </w:rPr>
        <w:t>酒店</w:t>
      </w:r>
      <w:r>
        <w:rPr>
          <w:rFonts w:hint="eastAsia"/>
          <w:lang w:eastAsia="zh-CN"/>
        </w:rPr>
        <w:t>门店对导盲犬</w:t>
      </w:r>
      <w:r>
        <w:rPr>
          <w:rFonts w:hint="eastAsia"/>
          <w:lang w:val="en-US" w:eastAsia="zh-CN"/>
        </w:rPr>
        <w:t>使用者</w:t>
      </w:r>
      <w:r>
        <w:rPr>
          <w:rFonts w:hint="eastAsia"/>
          <w:lang w:eastAsia="zh-CN"/>
        </w:rPr>
        <w:t>入住咨询的回应，</w:t>
      </w:r>
      <w:r>
        <w:rPr>
          <w:rFonts w:hint="eastAsia"/>
          <w:lang w:val="en-US" w:eastAsia="zh-CN"/>
        </w:rPr>
        <w:t>探索这些回应背后的原因，并积极为各利益相关方提出改进相关服务的具体做法。</w:t>
      </w:r>
    </w:p>
    <w:p w14:paraId="394504F3">
      <w:r>
        <w:t>研究团队在2023年11月至2024年1月、2025年6月两个阶段，对全国30个城市、10个经济型连锁酒店品牌开展电话咨询。</w:t>
      </w:r>
      <w:r>
        <w:rPr>
          <w:rFonts w:hint="eastAsia"/>
          <w:lang w:eastAsia="zh-CN"/>
        </w:rPr>
        <w:t>我们关注</w:t>
      </w:r>
      <w:r>
        <w:t>酒店能否给出明确答复</w:t>
      </w:r>
      <w:r>
        <w:rPr>
          <w:rFonts w:hint="eastAsia"/>
          <w:lang w:eastAsia="zh-CN"/>
        </w:rPr>
        <w:t>：是否同意携带导盲犬入住</w:t>
      </w:r>
      <w:r>
        <w:t>？</w:t>
      </w:r>
      <w:r>
        <w:rPr>
          <w:rFonts w:hint="eastAsia"/>
          <w:lang w:val="en-US" w:eastAsia="zh-CN"/>
        </w:rPr>
        <w:t>我们要沟通多少次，付出多少解释成本？</w:t>
      </w:r>
      <w:r>
        <w:t>门店同意接待时，又会提出哪些条件？</w:t>
      </w:r>
    </w:p>
    <w:p w14:paraId="6678F54E">
      <w:r>
        <w:rPr>
          <w:rFonts w:hint="eastAsia"/>
          <w:lang w:eastAsia="zh-CN"/>
        </w:rPr>
        <w:t>我们一</w:t>
      </w:r>
      <w:r>
        <w:t>共记录782次独立通话，形成558家门店的有效记录。558家样本门店中，465家最终在电话中表示接纳，但只有287家在第一轮沟通中直接同意；部分门店还提出额外收费、免责或活动范围限制。</w:t>
      </w:r>
    </w:p>
    <w:p w14:paraId="0841A64E">
      <w:pPr>
        <w:rPr>
          <w:rFonts w:hint="default"/>
          <w:lang w:val="en-US" w:eastAsia="zh-CN"/>
        </w:rPr>
      </w:pPr>
      <w:r>
        <w:rPr>
          <w:rFonts w:hint="eastAsia"/>
          <w:lang w:val="en-US" w:eastAsia="zh-CN"/>
        </w:rPr>
        <w:t>也就是说，普通的导盲犬使用者拨打电话收到拒绝的概率接近50%，看上去还有50%，对于日常生活来说就是害怕打电话，不愿意出门，因为谁愿意被拒绝，谁又愿意多花那么多成本呢？</w:t>
      </w:r>
      <w:bookmarkStart w:id="1" w:name="_Toc240635827"/>
      <w:r>
        <w:rPr>
          <w:rFonts w:hint="eastAsia"/>
          <w:lang w:val="en-US" w:eastAsia="zh-CN"/>
        </w:rPr>
        <w:t>这一切真的很不合理。</w:t>
      </w:r>
    </w:p>
    <w:p w14:paraId="180DD8A7">
      <w:pPr>
        <w:rPr>
          <w:b/>
          <w:bCs/>
        </w:rPr>
      </w:pPr>
      <w:r>
        <w:rPr>
          <w:b/>
          <w:bCs/>
        </w:rPr>
        <w:t>主要发现</w:t>
      </w:r>
      <w:bookmarkEnd w:id="1"/>
    </w:p>
    <w:p w14:paraId="663D2BFF">
      <w:pPr>
        <w:keepLines/>
        <w:ind w:firstLine="420"/>
        <w:rPr>
          <w:rFonts w:hint="eastAsia" w:eastAsia="宋体"/>
          <w:lang w:val="en-US" w:eastAsia="zh-CN"/>
        </w:rPr>
      </w:pPr>
      <w:r>
        <w:t>本次电话调查覆盖30个城市、10个经济型连锁酒店品牌，形成558家门店的有效记录。结果呈现了</w:t>
      </w:r>
      <w:r>
        <w:rPr>
          <w:rFonts w:hint="eastAsia"/>
          <w:lang w:val="en-US" w:eastAsia="zh-CN"/>
        </w:rPr>
        <w:t>导盲犬使用者</w:t>
      </w:r>
      <w:r>
        <w:t>能否</w:t>
      </w:r>
      <w:r>
        <w:rPr>
          <w:rFonts w:hint="eastAsia"/>
          <w:lang w:val="en-US" w:eastAsia="zh-CN"/>
        </w:rPr>
        <w:t>最终</w:t>
      </w:r>
      <w:r>
        <w:t>获得</w:t>
      </w:r>
      <w:r>
        <w:rPr>
          <w:rFonts w:hint="eastAsia"/>
          <w:lang w:val="en-US" w:eastAsia="zh-CN"/>
        </w:rPr>
        <w:t>酒店</w:t>
      </w:r>
      <w:r>
        <w:t>接纳，以及在取得</w:t>
      </w:r>
      <w:r>
        <w:rPr>
          <w:rFonts w:hint="eastAsia"/>
          <w:lang w:val="en-US" w:eastAsia="zh-CN"/>
        </w:rPr>
        <w:t>确定性</w:t>
      </w:r>
      <w:r>
        <w:t>答复之前和之后</w:t>
      </w:r>
      <w:r>
        <w:rPr>
          <w:rFonts w:hint="eastAsia"/>
          <w:lang w:eastAsia="zh-CN"/>
        </w:rPr>
        <w:t>，</w:t>
      </w:r>
      <w:r>
        <w:rPr>
          <w:rFonts w:hint="eastAsia"/>
          <w:lang w:val="en-US" w:eastAsia="zh-CN"/>
        </w:rPr>
        <w:t>使用者</w:t>
      </w:r>
      <w:r>
        <w:t>还需要处理哪些</w:t>
      </w:r>
      <w:r>
        <w:rPr>
          <w:rFonts w:hint="eastAsia"/>
          <w:lang w:val="en-US" w:eastAsia="zh-CN"/>
        </w:rPr>
        <w:t>额外</w:t>
      </w:r>
      <w:r>
        <w:t>事项。</w:t>
      </w:r>
    </w:p>
    <w:p w14:paraId="53CDD1B8">
      <w:pPr>
        <w:keepLines/>
        <w:ind w:firstLine="420"/>
      </w:pPr>
      <w:r>
        <w:rPr>
          <w:b/>
        </w:rPr>
        <w:t>465家最终接纳 287家第一轮直接同意</w:t>
      </w:r>
    </w:p>
    <w:p w14:paraId="19F351E5">
      <w:pPr>
        <w:keepLines/>
        <w:ind w:firstLine="420"/>
      </w:pPr>
      <w:r>
        <w:t>最终接纳率为83.3%，直接同意率为51.4%。另有178家在进一步解释或酒店内部确认后同意。</w:t>
      </w:r>
    </w:p>
    <w:p w14:paraId="26996DB3">
      <w:pPr>
        <w:keepLines/>
        <w:ind w:firstLine="420"/>
      </w:pPr>
      <w:r>
        <w:rPr>
          <w:b/>
        </w:rPr>
        <w:t>93家最终拒绝 占16.7%</w:t>
      </w:r>
    </w:p>
    <w:p w14:paraId="671225A5">
      <w:pPr>
        <w:keepLines/>
        <w:ind w:firstLine="420"/>
      </w:pPr>
      <w:r>
        <w:t>46家直接拒绝，47家进一步沟通后仍然拒绝。</w:t>
      </w:r>
      <w:r>
        <w:rPr>
          <w:rFonts w:hint="eastAsia"/>
          <w:lang w:val="en-US" w:eastAsia="zh-CN"/>
        </w:rPr>
        <w:t>沟通之后仍然拒绝的门店比直接拒绝的门店更令人心生不满，因为这意味着导盲犬使用者多付出了解释成本，但最终没有得到任何收益。</w:t>
      </w:r>
    </w:p>
    <w:p w14:paraId="3E3B1EEE">
      <w:pPr>
        <w:keepLines/>
        <w:ind w:firstLine="420"/>
      </w:pPr>
      <w:r>
        <w:rPr>
          <w:b/>
        </w:rPr>
        <w:t>187家需要两次及以上独立通话 占33.5%</w:t>
      </w:r>
    </w:p>
    <w:p w14:paraId="7D1E7131">
      <w:pPr>
        <w:keepLines/>
        <w:ind w:firstLine="420"/>
        <w:rPr>
          <w:rFonts w:hint="default" w:eastAsia="宋体"/>
          <w:lang w:val="en-US" w:eastAsia="zh-CN"/>
        </w:rPr>
      </w:pPr>
      <w:r>
        <w:t>558家门店共记录782次独立通话。部分咨询者需要再次联系同一家门店，追问内部确认结果；</w:t>
      </w:r>
      <w:r>
        <w:rPr>
          <w:rFonts w:hint="eastAsia"/>
          <w:lang w:val="en-US" w:eastAsia="zh-CN"/>
        </w:rPr>
        <w:t>在实际生活中，预定住宿的真实导盲犬使用者遇到回复说“等我请示汇报一下”可能会放弃继续沟通转而咨询下一家酒店，而不是像研究团队成员一样“锲而不舍”，只为得到一个结果。</w:t>
      </w:r>
    </w:p>
    <w:p w14:paraId="13E951C0">
      <w:pPr>
        <w:keepLines/>
        <w:ind w:firstLine="420"/>
      </w:pPr>
      <w:r>
        <w:rPr>
          <w:b/>
        </w:rPr>
        <w:t>86家附带条件接纳 占15.4%</w:t>
      </w:r>
    </w:p>
    <w:p w14:paraId="78F1EA6B">
      <w:pPr>
        <w:keepLines/>
        <w:ind w:firstLine="420"/>
        <w:rPr>
          <w:rFonts w:hint="default" w:eastAsia="宋体"/>
          <w:lang w:val="en-US" w:eastAsia="zh-CN"/>
        </w:rPr>
      </w:pPr>
      <w:r>
        <w:t>这些门店</w:t>
      </w:r>
      <w:r>
        <w:rPr>
          <w:rFonts w:hint="eastAsia"/>
          <w:lang w:val="en-US" w:eastAsia="zh-CN"/>
        </w:rPr>
        <w:t>虽然不拒绝导盲犬使用者的入住，但</w:t>
      </w:r>
      <w:r>
        <w:t>提出额外收费、免责、房间安排或活动范围限制。</w:t>
      </w:r>
      <w:r>
        <w:rPr>
          <w:rFonts w:hint="eastAsia"/>
          <w:lang w:val="en-US" w:eastAsia="zh-CN"/>
        </w:rPr>
        <w:t>这虽然在统计数据中被计入一种“接纳”，但在导盲犬使用者主观看来更像是一种“落井下石”。</w:t>
      </w:r>
    </w:p>
    <w:p w14:paraId="73BB097F">
      <w:pPr>
        <w:keepLines/>
        <w:ind w:firstLine="420"/>
      </w:pPr>
      <w:r>
        <w:rPr>
          <w:b/>
        </w:rPr>
        <w:t>品牌和城市排行呈现不同的接待表现</w:t>
      </w:r>
    </w:p>
    <w:p w14:paraId="69684C70">
      <w:pPr>
        <w:keepLines/>
        <w:ind w:firstLine="420"/>
        <w:rPr>
          <w:rFonts w:hint="default" w:eastAsia="宋体"/>
          <w:lang w:val="en-US" w:eastAsia="zh-CN"/>
        </w:rPr>
      </w:pPr>
      <w:r>
        <w:t>汉庭和全季位列品牌样本前两位；重庆和昆明样本均未出现最终拒绝。同一品牌内部仍有不同答复。</w:t>
      </w:r>
      <w:r>
        <w:rPr>
          <w:rFonts w:hint="eastAsia"/>
          <w:lang w:val="en-US" w:eastAsia="zh-CN"/>
        </w:rPr>
        <w:t>虽然受样本量和取样时间所限，这可能并不能反映出完全真实的情况，但是西南地区的两座城市最终都未出现拒绝的情况，也许并不止是因为遵守法律法规的原因，还跟当地自然包容的文化氛围有关。不过需要提醒大家的是，这完全不能作为某种指南或者直接的建议。</w:t>
      </w:r>
    </w:p>
    <w:p w14:paraId="6ABCF3FB">
      <w:pPr>
        <w:pStyle w:val="3"/>
        <w:pageBreakBefore/>
      </w:pPr>
      <w:bookmarkStart w:id="2" w:name="_Toc240635828"/>
      <w:bookmarkStart w:id="3" w:name="_Toc239432600"/>
      <w:r>
        <w:rPr>
          <w:rFonts w:ascii="宋体" w:hAnsi="宋体" w:eastAsia="宋体"/>
          <w:b w:val="0"/>
        </w:rPr>
        <w:t>第一章 研究发现</w:t>
      </w:r>
      <w:bookmarkEnd w:id="2"/>
      <w:bookmarkEnd w:id="3"/>
    </w:p>
    <w:p w14:paraId="068140D7">
      <w:pPr>
        <w:rPr>
          <w:rFonts w:hint="eastAsia"/>
          <w:lang w:val="en-US" w:eastAsia="zh-CN"/>
        </w:rPr>
      </w:pPr>
      <w:r>
        <w:rPr>
          <w:rFonts w:hint="eastAsia"/>
          <w:lang w:val="en-US" w:eastAsia="zh-CN"/>
        </w:rPr>
        <w:t>最开始的时候，研究团队的成员拨打电话给酒店是很淡定的，因为我们并不真的住店，我们只是在做社会调查，我们在做一项权利倡导工作，但是随着工作的深入，电话越打越多，得到的回复越来越“离谱”之后，终于有一天，有一位小伙伴在挂断电话之后崩溃了，他愤怒地对着身边同事说：为什么盲人的生活这么惨，外出住个店都这么难吗？</w:t>
      </w:r>
    </w:p>
    <w:p w14:paraId="6A1D369A">
      <w:pPr>
        <w:rPr>
          <w:rFonts w:hint="eastAsia"/>
          <w:lang w:val="en-US" w:eastAsia="zh-CN"/>
        </w:rPr>
      </w:pPr>
      <w:r>
        <w:rPr>
          <w:rFonts w:hint="eastAsia"/>
          <w:lang w:eastAsia="zh-CN"/>
        </w:rPr>
        <w:t>研究团队致电咨询时，</w:t>
      </w:r>
      <w:r>
        <w:rPr>
          <w:rFonts w:hint="eastAsia"/>
          <w:lang w:val="en-US" w:eastAsia="zh-CN"/>
        </w:rPr>
        <w:t>有时候的角色是导盲犬使用者本人，有时候是代替使用者预定住宿。关于酒店是否允许导盲犬入住，研究团队成员</w:t>
      </w:r>
      <w:r>
        <w:rPr>
          <w:rFonts w:hint="eastAsia"/>
          <w:lang w:eastAsia="zh-CN"/>
        </w:rPr>
        <w:t>希望像其他住客一样，</w:t>
      </w:r>
      <w:r>
        <w:rPr>
          <w:rFonts w:hint="eastAsia"/>
          <w:lang w:val="en-US" w:eastAsia="zh-CN"/>
        </w:rPr>
        <w:t>得到明确的需求回应解答和住宿安排获得支持。但显然，这些要求有些过分了，有时候对面一听有导盲犬就挂断了电话，有时候当团队成员开始解释</w:t>
      </w:r>
      <w:r>
        <w:rPr>
          <w:rFonts w:hint="eastAsia"/>
          <w:lang w:eastAsia="zh-CN"/>
        </w:rPr>
        <w:t>导盲犬的工作属性和《无障碍环境建设法》的相关规定，</w:t>
      </w:r>
      <w:r>
        <w:rPr>
          <w:rFonts w:hint="eastAsia"/>
          <w:lang w:val="en-US" w:eastAsia="zh-CN"/>
        </w:rPr>
        <w:t>还要继续等待酒店内部的确认，也不知道在确认什么，是担心视障者捏造法律，还是判断一下违法的成本高不高。有时候酒店方同意了，但要收取我们额外的收费比如宠物护理费，有时候只允许导盲犬使用者用更高的价格预定更高规格的酒店房间，比如家庭房。</w:t>
      </w:r>
    </w:p>
    <w:p w14:paraId="13155EF3">
      <w:pPr>
        <w:rPr>
          <w:rFonts w:hint="eastAsia"/>
          <w:lang w:val="en-US" w:eastAsia="zh-CN"/>
        </w:rPr>
      </w:pPr>
      <w:r>
        <w:rPr>
          <w:rFonts w:hint="eastAsia"/>
          <w:lang w:val="en-US" w:eastAsia="zh-CN"/>
        </w:rPr>
        <w:t>对研究团队成员来说，不同酒店的电话回复结果是调研的一部分，即使愤怒也隔了一层，但是对导盲犬使用者的生活来说，这些都是实实在在的阻碍和来自生活的挑战。</w:t>
      </w:r>
    </w:p>
    <w:p w14:paraId="6DE8D9D2">
      <w:r>
        <w:rPr>
          <w:rFonts w:hint="eastAsia"/>
          <w:lang w:val="en-US" w:eastAsia="zh-CN"/>
        </w:rPr>
        <w:t>接下来，我们将酒店电话回复调查结果分别 记录为最终答复、沟通过程和接待条件三个种类，希望让关注议题的人的直观感觉到导盲犬使用者在顺利入住酒店之前都发生了什么，他们要准备什么证件，要科普哪些法律，接受哪些不平等条约，以及要经过多少次的拒绝。</w:t>
      </w:r>
    </w:p>
    <w:p w14:paraId="18F92DE0">
      <w:pPr>
        <w:pStyle w:val="4"/>
      </w:pPr>
      <w:bookmarkStart w:id="4" w:name="_Toc240635829"/>
      <w:bookmarkStart w:id="5" w:name="_Toc239432602"/>
      <w:r>
        <w:t>一 总体接纳结果</w:t>
      </w:r>
      <w:bookmarkEnd w:id="4"/>
      <w:bookmarkEnd w:id="5"/>
    </w:p>
    <w:p w14:paraId="583AA8B0">
      <w:pPr>
        <w:rPr>
          <w:rFonts w:hint="default" w:eastAsia="宋体"/>
          <w:lang w:val="en-US" w:eastAsia="zh-CN"/>
        </w:rPr>
      </w:pPr>
      <w:r>
        <w:rPr>
          <w:rFonts w:hint="eastAsia"/>
          <w:lang w:val="en-US" w:eastAsia="zh-CN"/>
        </w:rPr>
        <w:t>研究团队的</w:t>
      </w:r>
      <w:r>
        <w:t>调研获得</w:t>
      </w:r>
      <w:r>
        <w:rPr>
          <w:rFonts w:hint="eastAsia"/>
          <w:lang w:val="en-US" w:eastAsia="zh-CN"/>
        </w:rPr>
        <w:t>了</w:t>
      </w:r>
      <w:r>
        <w:t>558家酒店门店的有效反馈。</w:t>
      </w:r>
      <w:r>
        <w:rPr>
          <w:rFonts w:hint="eastAsia"/>
          <w:lang w:val="en-US" w:eastAsia="zh-CN"/>
        </w:rPr>
        <w:t>有</w:t>
      </w:r>
      <w:r>
        <w:t>287家在第一轮沟通中直接同意</w:t>
      </w:r>
      <w:r>
        <w:rPr>
          <w:rFonts w:hint="eastAsia"/>
          <w:lang w:val="en-US" w:eastAsia="zh-CN"/>
        </w:rPr>
        <w:t>了导盲犬的入住请求</w:t>
      </w:r>
      <w:r>
        <w:t>，占51.4%；178家进一步沟通后同意；46家直接拒绝；47家进一步沟通后仍然拒绝。最终共有465家表示可以接纳导盲犬入住，占83.3%；93家最终拒绝，占16.7%。</w:t>
      </w:r>
      <w:r>
        <w:rPr>
          <w:rFonts w:hint="eastAsia"/>
          <w:lang w:val="en-US" w:eastAsia="zh-CN"/>
        </w:rPr>
        <w:t>看上去结果挺好的，但是研究团队想要澄清的是，因为团队成员本着调研的目标语调沉稳，以及并不畏惧酒店前台的拒绝，这一定程度上有利于最终的入住，以及如前文所说，大部分真实生活场景中，不会存在进一步的沟通，大部分人在遭受拒绝之后就会立即选择下一家，所以我们有理由说导盲犬使用者提前电话预定酒店住宿失败的概率接近50%。</w:t>
      </w:r>
    </w:p>
    <w:p w14:paraId="2A61A319">
      <w:r>
        <w:t>最终结果与答复形成过程分别统计。</w:t>
      </w:r>
    </w:p>
    <w:p w14:paraId="7EBABCD0">
      <w:pPr>
        <w:keepNext/>
        <w:spacing w:after="40"/>
        <w:jc w:val="center"/>
      </w:pPr>
      <w:r>
        <w:drawing>
          <wp:inline distT="0" distB="0" distL="0" distR="0">
            <wp:extent cx="5486400" cy="3048000"/>
            <wp:effectExtent l="0" t="0" r="0" b="0"/>
            <wp:docPr id="20" name="Picture 20" descr="流程图：558家有效反馈门店中，333家直接形成结果，其中287家直接同意、46家直接拒绝；225家经过进一步沟通形成结果，其中178家同意、47家拒绝。最终465家同意，93家拒绝。" title="流程图：558家有效反馈门店中，333家直接形成结果，其中287家直接同意、46家直接拒绝；225家经过进一步沟通形成结果，其中178家同意、47家拒绝。最终465家同意，93家拒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流程图：558家有效反馈门店中，333家直接形成结果，其中287家直接同意、46家直接拒绝；225家经过进一步沟通形成结果，其中178家同意、47家拒绝。最终465家同意，93家拒绝。" title="流程图：558家有效反馈门店中，333家直接形成结果，其中287家直接同意、46家直接拒绝；225家经过进一步沟通形成结果，其中178家同意、47家拒绝。最终465家同意，93家拒绝。"/>
                    <pic:cNvPicPr>
                      <a:picLocks noChangeAspect="1"/>
                    </pic:cNvPicPr>
                  </pic:nvPicPr>
                  <pic:blipFill>
                    <a:blip r:embed="rId10"/>
                    <a:stretch>
                      <a:fillRect/>
                    </a:stretch>
                  </pic:blipFill>
                  <pic:spPr>
                    <a:xfrm>
                      <a:off x="0" y="0"/>
                      <a:ext cx="5486400" cy="3048000"/>
                    </a:xfrm>
                    <a:prstGeom prst="rect">
                      <a:avLst/>
                    </a:prstGeom>
                  </pic:spPr>
                </pic:pic>
              </a:graphicData>
            </a:graphic>
          </wp:inline>
        </w:drawing>
      </w:r>
    </w:p>
    <w:p w14:paraId="5CEA6362">
      <w:pPr>
        <w:pStyle w:val="173"/>
      </w:pPr>
      <w:r>
        <w:t>图1　答复形成过程与最终结果（n=558家有效反馈门店）</w:t>
      </w:r>
    </w:p>
    <w:p w14:paraId="06441B64">
      <w:r>
        <w:rPr>
          <w:rFonts w:hint="eastAsia"/>
          <w:lang w:eastAsia="zh-CN"/>
        </w:rPr>
        <w:t>最终接纳率</w:t>
      </w:r>
      <w:r>
        <w:rPr>
          <w:rFonts w:hint="eastAsia"/>
          <w:lang w:val="en-US" w:eastAsia="zh-CN"/>
        </w:rPr>
        <w:t>看上去</w:t>
      </w:r>
      <w:r>
        <w:rPr>
          <w:rFonts w:hint="eastAsia"/>
          <w:lang w:eastAsia="zh-CN"/>
        </w:rPr>
        <w:t>较高，说明</w:t>
      </w:r>
      <w:r>
        <w:rPr>
          <w:rFonts w:hint="eastAsia"/>
          <w:lang w:val="en-US" w:eastAsia="zh-CN"/>
        </w:rPr>
        <w:t>在调查期间，样本中</w:t>
      </w:r>
      <w:r>
        <w:rPr>
          <w:rFonts w:hint="eastAsia"/>
          <w:lang w:eastAsia="zh-CN"/>
        </w:rPr>
        <w:t>多数门店在电话中表示愿意接待</w:t>
      </w:r>
      <w:r>
        <w:rPr>
          <w:rFonts w:hint="eastAsia"/>
          <w:lang w:val="en-US" w:eastAsia="zh-CN"/>
        </w:rPr>
        <w:t>导盲犬使用者，虽然</w:t>
      </w:r>
      <w:r>
        <w:rPr>
          <w:rFonts w:hint="eastAsia"/>
          <w:lang w:eastAsia="zh-CN"/>
        </w:rPr>
        <w:t>其中一部分答复是在咨询者进一步解释或酒店内部确认后才取得的。</w:t>
      </w:r>
      <w:r>
        <w:rPr>
          <w:rFonts w:hint="eastAsia"/>
          <w:lang w:val="en-US" w:eastAsia="zh-CN"/>
        </w:rPr>
        <w:t>这对于导盲犬使用者来说不算是一个坏消息，但是解释成本，以及被允许入住之后，还要付出什么样的代价对导盲犬使用者来说都是未可知的。</w:t>
      </w:r>
    </w:p>
    <w:p w14:paraId="26F38F21">
      <w:pPr>
        <w:pStyle w:val="4"/>
      </w:pPr>
      <w:bookmarkStart w:id="6" w:name="_Toc240635830"/>
      <w:bookmarkStart w:id="7" w:name="_Toc239432603"/>
      <w:r>
        <w:t>二 最终拒绝</w:t>
      </w:r>
      <w:bookmarkEnd w:id="6"/>
      <w:bookmarkEnd w:id="7"/>
    </w:p>
    <w:p w14:paraId="68C6A75F">
      <w:r>
        <w:rPr>
          <w:rFonts w:hint="eastAsia"/>
          <w:lang w:val="en-US" w:eastAsia="zh-CN"/>
        </w:rPr>
        <w:t>样本中，最终有</w:t>
      </w:r>
      <w:r>
        <w:t>93家门店拒绝接待导盲犬使用者。其中46家直接拒绝；在这类通话中，导盲犬尚未被识别为工作犬，便被归入普通宠物。另有47家在咨询者说明导盲犬的工作属性、证件情况或相关规定后，仍然</w:t>
      </w:r>
      <w:r>
        <w:rPr>
          <w:rFonts w:hint="eastAsia"/>
          <w:lang w:val="en-US" w:eastAsia="zh-CN"/>
        </w:rPr>
        <w:t>表示</w:t>
      </w:r>
      <w:r>
        <w:t>拒绝。</w:t>
      </w:r>
    </w:p>
    <w:p w14:paraId="280FE52B">
      <w:pPr>
        <w:pStyle w:val="185"/>
      </w:pPr>
      <w:r>
        <w:t>“酒店不让宠物入住。”</w:t>
      </w:r>
    </w:p>
    <w:p w14:paraId="04D76D8E">
      <w:pPr>
        <w:pStyle w:val="185"/>
      </w:pPr>
      <w:r>
        <w:t>“其他客人看到会害怕。”</w:t>
      </w:r>
    </w:p>
    <w:p w14:paraId="57928646">
      <w:r>
        <w:t>咨询者说明</w:t>
      </w:r>
      <w:r>
        <w:rPr>
          <w:rFonts w:hint="eastAsia"/>
          <w:lang w:val="en-US" w:eastAsia="zh-CN"/>
        </w:rPr>
        <w:t>导盲犬的</w:t>
      </w:r>
      <w:r>
        <w:t>工作犬属性、证件情况</w:t>
      </w:r>
      <w:r>
        <w:rPr>
          <w:rFonts w:hint="eastAsia"/>
          <w:lang w:val="en-US" w:eastAsia="zh-CN"/>
        </w:rPr>
        <w:t>和《无障碍环境建设法》的</w:t>
      </w:r>
      <w:r>
        <w:t>有关规定后，拒绝理由还可能转向卫生、噪音、安全、设施损耗和其他住客投诉。</w:t>
      </w:r>
    </w:p>
    <w:p w14:paraId="72F47806">
      <w:pPr>
        <w:rPr>
          <w:lang w:eastAsia="zh-CN"/>
        </w:rPr>
      </w:pPr>
      <w:r>
        <w:t>在广州格林豪泰番禺广场店，研究者代朋友询问携带导盲犬入住的安排。门店表示人可以进客房，犬只能留在一楼。研究者说明朋友需要导盲犬协助行动，人与犬需要共同入住，并追问门店担忧什么。对方仍以宠物规定和其他住客可能投诉为由拒绝，建议询问别的酒店。</w:t>
      </w:r>
    </w:p>
    <w:p w14:paraId="614955E7">
      <w:pPr>
        <w:keepLines/>
        <w:ind w:firstLine="420"/>
        <w:rPr>
          <w:rFonts w:hint="default" w:eastAsia="宋体"/>
          <w:lang w:val="en-US" w:eastAsia="zh-CN"/>
        </w:rPr>
      </w:pPr>
      <w:r>
        <w:t>另一位以导盲犬使用者本人身份咨询的研究者，在哈尔滨格林豪泰中央大街店遭拒后，要求查看门店规定，并请求联系经理。再次通话时，他继续追问规定的依据和是否发生过投诉。经理仍以其他住客、儿童和既往投诉等顾虑拒绝。他试图弄清拒绝依据，并没有在第一次答复后结束询问</w:t>
      </w:r>
      <w:r>
        <w:rPr>
          <w:rFonts w:hint="eastAsia"/>
          <w:lang w:eastAsia="zh-CN"/>
        </w:rPr>
        <w:t>，</w:t>
      </w:r>
      <w:r>
        <w:rPr>
          <w:rFonts w:hint="eastAsia"/>
          <w:lang w:val="en-US" w:eastAsia="zh-CN"/>
        </w:rPr>
        <w:t>但后续他依旧没有得到回复。</w:t>
      </w:r>
    </w:p>
    <w:p w14:paraId="2B361348">
      <w:pPr>
        <w:pStyle w:val="4"/>
      </w:pPr>
      <w:bookmarkStart w:id="8" w:name="_Toc239432604"/>
      <w:bookmarkStart w:id="9" w:name="_Toc240635831"/>
      <w:r>
        <w:t>三 沟通负担</w:t>
      </w:r>
      <w:bookmarkEnd w:id="8"/>
      <w:bookmarkEnd w:id="9"/>
    </w:p>
    <w:p w14:paraId="548E818E">
      <w:r>
        <w:t>558家门店共记录782次独立通话，平均每家1.4次。371家通过1次通话得到结果；155家需要2次，27家需要3次，5家需要4次。187家需要2次及以上，占33.5%。</w:t>
      </w:r>
    </w:p>
    <w:p w14:paraId="7A0CFA9A">
      <w:pPr>
        <w:keepNext/>
        <w:spacing w:after="40"/>
        <w:jc w:val="center"/>
      </w:pPr>
      <w:r>
        <w:drawing>
          <wp:inline distT="0" distB="0" distL="0" distR="0">
            <wp:extent cx="5486400" cy="3291840"/>
            <wp:effectExtent l="0" t="0" r="0" b="0"/>
            <wp:docPr id="21" name="Picture 21" descr="横向条形图：371家通过1次独立通话得到答复，155家需要2次，27家需要3次，5家需要4次；187家即33.5%需要2次及以上。" title="横向条形图：371家通过1次独立通话得到答复，155家需要2次，27家需要3次，5家需要4次；187家即33.5%需要2次及以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横向条形图：371家通过1次独立通话得到答复，155家需要2次，27家需要3次，5家需要4次；187家即33.5%需要2次及以上。" title="横向条形图：371家通过1次独立通话得到答复，155家需要2次，27家需要3次，5家需要4次；187家即33.5%需要2次及以上。"/>
                    <pic:cNvPicPr>
                      <a:picLocks noChangeAspect="1"/>
                    </pic:cNvPicPr>
                  </pic:nvPicPr>
                  <pic:blipFill>
                    <a:blip r:embed="rId11"/>
                    <a:stretch>
                      <a:fillRect/>
                    </a:stretch>
                  </pic:blipFill>
                  <pic:spPr>
                    <a:xfrm>
                      <a:off x="0" y="0"/>
                      <a:ext cx="5486400" cy="3291840"/>
                    </a:xfrm>
                    <a:prstGeom prst="rect">
                      <a:avLst/>
                    </a:prstGeom>
                  </pic:spPr>
                </pic:pic>
              </a:graphicData>
            </a:graphic>
          </wp:inline>
        </w:drawing>
      </w:r>
    </w:p>
    <w:p w14:paraId="5EF6D3DD">
      <w:pPr>
        <w:pStyle w:val="173"/>
      </w:pPr>
      <w:r>
        <w:t>图2　独立通话次数分布（n=558家有效反馈门店）</w:t>
      </w:r>
    </w:p>
    <w:p w14:paraId="06D94143">
      <w:r>
        <w:t>常见沟通路径是消费者说明需求、前台请示经理或总部，再由酒店回复。一次通话既可能接纳，也可能拒绝；同一次通话里也可能包含解释、转接和等待</w:t>
      </w:r>
      <w:r>
        <w:rPr>
          <w:rFonts w:hint="eastAsia"/>
          <w:lang w:eastAsia="zh-CN"/>
        </w:rPr>
        <w:t>，</w:t>
      </w:r>
      <w:r>
        <w:rPr>
          <w:rFonts w:hint="eastAsia"/>
          <w:lang w:val="en-US" w:eastAsia="zh-CN"/>
        </w:rPr>
        <w:t>这份数据无法完整地表明导盲犬使用者过程中的等待与煎熬。</w:t>
      </w:r>
    </w:p>
    <w:p w14:paraId="57A962C2">
      <w:r>
        <w:t>在广州7天东风东路杨箕地铁站店，研究者代朋友咨询时，前台先表示动物不能进入。研究者解释导盲犬的工作属性，并指出平台标注了支持服务型动物。前台表示需询问负责人，让咨询者两小时后再联系，后来主动回电确认可以入住。研究者继续询问准备事项，得到携带普通入住证件的答复，但导盲犬证件是否需要仍未说清。</w:t>
      </w:r>
    </w:p>
    <w:p w14:paraId="55716A5D">
      <w:pPr>
        <w:keepLines/>
        <w:ind w:firstLine="420"/>
      </w:pPr>
      <w:r>
        <w:rPr>
          <w:rFonts w:hint="eastAsia"/>
          <w:lang w:val="en-US" w:eastAsia="zh-CN"/>
        </w:rPr>
        <w:t>在真实场景下，导盲犬使用者咨询门店是需要拿到确认结果和准备事项的，包括所需证件，防疫证明是否需要，但往往即使通过门店前台得到了确认接待的结果，使用者也往往还需要继续拨打电话追问，因为他们还要弄清楚到店前还需要准备什么。</w:t>
      </w:r>
    </w:p>
    <w:p w14:paraId="183E87E4">
      <w:pPr>
        <w:pStyle w:val="4"/>
      </w:pPr>
      <w:bookmarkStart w:id="10" w:name="_Toc240635832"/>
      <w:bookmarkStart w:id="11" w:name="_Toc239432605"/>
      <w:r>
        <w:t>四 附带条件接纳</w:t>
      </w:r>
      <w:bookmarkEnd w:id="10"/>
      <w:bookmarkEnd w:id="11"/>
    </w:p>
    <w:p w14:paraId="31F00062">
      <w:r>
        <w:t>558家门店中有379家无附加条件接纳，占67.9%；86家附带条件接纳，占全部样本的15.4%；93家最终拒绝，占16.7%。</w:t>
      </w:r>
    </w:p>
    <w:p w14:paraId="5F4B7F2C">
      <w:r>
        <w:t>86家附带条件接纳门店中，50家加收押金或清洁费，26家限制</w:t>
      </w:r>
      <w:r>
        <w:rPr>
          <w:rFonts w:hint="eastAsia"/>
          <w:lang w:val="en-US" w:eastAsia="zh-CN"/>
        </w:rPr>
        <w:t>视障住客的</w:t>
      </w:r>
      <w:r>
        <w:t>行为，13家要求签署免责协议，12家限制导盲犬活动范围，7家安排差别化房间；</w:t>
      </w:r>
      <w:r>
        <w:rPr>
          <w:rFonts w:hint="eastAsia"/>
          <w:lang w:val="en-US" w:eastAsia="zh-CN"/>
        </w:rPr>
        <w:t>当然</w:t>
      </w:r>
      <w:r>
        <w:t>一家门店可能提出多项要求。</w:t>
      </w:r>
    </w:p>
    <w:p w14:paraId="6E5AB770">
      <w:r>
        <w:rPr>
          <w:rFonts w:hint="eastAsia"/>
          <w:lang w:val="en-US" w:eastAsia="zh-CN"/>
        </w:rPr>
        <w:t>因为是导盲犬使用者，有酒店愿意同意自己入住已然很不错，所以真实生活中，使用者们也不会立即挂断电话，他们会评估多交的这份钱是押金还是服务费是否可以退回。免责协议是可以签订的，因为社群伙伴知道这在法律上经常是无效的，要求居住特定房间会多收钱吗？以及限制活动范围会影响我的正常出行吗？这些在外人听来非常不合理的要求，导盲犬使用者们会一项一项评估，认真考虑，生活不是维权现场，有的住还是要住，只要不太过分。</w:t>
      </w:r>
    </w:p>
    <w:p w14:paraId="27AD6D86">
      <w:pPr>
        <w:rPr>
          <w:lang w:eastAsia="zh-CN"/>
        </w:rPr>
      </w:pPr>
      <w:r>
        <w:t>贵阳如家火车站鸿通城购物中心店起初以设施、房间布局、噪声和既往宠物损坏地板等顾虑拒绝。咨询者逐项回应，并说明酒店</w:t>
      </w:r>
      <w:r>
        <w:rPr>
          <w:rFonts w:hint="eastAsia"/>
          <w:lang w:val="en-US" w:eastAsia="zh-CN"/>
        </w:rPr>
        <w:t>对我们</w:t>
      </w:r>
      <w:r>
        <w:t>要去的地方</w:t>
      </w:r>
      <w:r>
        <w:rPr>
          <w:rFonts w:hint="eastAsia"/>
          <w:lang w:val="en-US" w:eastAsia="zh-CN"/>
        </w:rPr>
        <w:t>很重要</w:t>
      </w:r>
      <w:r>
        <w:t>，因此希望</w:t>
      </w:r>
      <w:r>
        <w:rPr>
          <w:rFonts w:hint="eastAsia"/>
          <w:lang w:val="en-US" w:eastAsia="zh-CN"/>
        </w:rPr>
        <w:t>酒店可以酌情考虑</w:t>
      </w:r>
      <w:r>
        <w:t>。后续电话中，门店改为可以接待，但要求预订较大的家庭房</w:t>
      </w:r>
      <w:r>
        <w:rPr>
          <w:rFonts w:hint="eastAsia"/>
          <w:lang w:eastAsia="zh-CN"/>
        </w:rPr>
        <w:t>（</w:t>
      </w:r>
      <w:r>
        <w:rPr>
          <w:rFonts w:hint="eastAsia"/>
          <w:lang w:val="en-US" w:eastAsia="zh-CN"/>
        </w:rPr>
        <w:t>房间价格大大提高</w:t>
      </w:r>
      <w:r>
        <w:rPr>
          <w:rFonts w:hint="eastAsia"/>
          <w:lang w:eastAsia="zh-CN"/>
        </w:rPr>
        <w:t>）</w:t>
      </w:r>
      <w:r>
        <w:t>并携带犬的证件。</w:t>
      </w:r>
    </w:p>
    <w:p w14:paraId="7B0A5DC1">
      <w:pPr>
        <w:pStyle w:val="4"/>
      </w:pPr>
      <w:bookmarkStart w:id="12" w:name="_Toc240635833"/>
      <w:r>
        <w:t>五 预订安排中仍需确认的事项</w:t>
      </w:r>
      <w:bookmarkEnd w:id="12"/>
    </w:p>
    <w:p w14:paraId="57BBAB80">
      <w:pPr>
        <w:keepLines/>
        <w:ind w:firstLine="420"/>
      </w:pPr>
      <w:r>
        <w:t>能够接待、位置合适、房型和费用可以接受，都是落实住宿时需要考虑的事情。贵阳如家的咨询者说明希望住得靠近目的地，并在门店提出家庭房要求后</w:t>
      </w:r>
      <w:r>
        <w:rPr>
          <w:rFonts w:hint="eastAsia"/>
          <w:lang w:eastAsia="zh-CN"/>
        </w:rPr>
        <w:t>，</w:t>
      </w:r>
      <w:r>
        <w:rPr>
          <w:rFonts w:hint="eastAsia"/>
          <w:lang w:val="en-US" w:eastAsia="zh-CN"/>
        </w:rPr>
        <w:t>没有第一时间拒绝，因为这家酒店真的很近。</w:t>
      </w:r>
    </w:p>
    <w:p w14:paraId="55AF270A">
      <w:pPr>
        <w:keepLines/>
        <w:ind w:firstLine="420"/>
      </w:pPr>
      <w:r>
        <w:t>在成都尚客优悦石板滩东风街店的电话调查中，一位</w:t>
      </w:r>
      <w:r>
        <w:rPr>
          <w:rFonts w:hint="eastAsia"/>
          <w:lang w:val="en-US" w:eastAsia="zh-CN"/>
        </w:rPr>
        <w:t>咨询</w:t>
      </w:r>
      <w:r>
        <w:t>者说明，单位尚未确定出差日期，自己先询问周边酒店。前台要求提供确切日期，才便于向经理申请。再次致电时，他解释希望先了解接待政策，确认可以后再下单，请前台先帮忙查询。通话结束时，对方答应询问，</w:t>
      </w:r>
      <w:r>
        <w:rPr>
          <w:rFonts w:hint="eastAsia"/>
          <w:lang w:val="en-US" w:eastAsia="zh-CN"/>
        </w:rPr>
        <w:t>但没有下文</w:t>
      </w:r>
      <w:r>
        <w:t>。</w:t>
      </w:r>
    </w:p>
    <w:p w14:paraId="3B7986CC">
      <w:pPr>
        <w:keepLines/>
        <w:ind w:firstLine="420"/>
        <w:rPr>
          <w:rFonts w:hint="default" w:eastAsia="宋体"/>
          <w:lang w:val="en-US" w:eastAsia="zh-CN"/>
        </w:rPr>
      </w:pPr>
      <w:r>
        <w:t>准备哪些材料也需要在预订前说清。广州7天已经回电同意，犬证要求仍有疑问；</w:t>
      </w:r>
      <w:r>
        <w:rPr>
          <w:rFonts w:hint="eastAsia"/>
          <w:lang w:val="en-US" w:eastAsia="zh-CN"/>
        </w:rPr>
        <w:t>给</w:t>
      </w:r>
      <w:r>
        <w:t>宁波城市便捷</w:t>
      </w:r>
      <w:r>
        <w:rPr>
          <w:rFonts w:hint="eastAsia"/>
          <w:lang w:val="en-US" w:eastAsia="zh-CN"/>
        </w:rPr>
        <w:t>酒店打电话</w:t>
      </w:r>
      <w:r>
        <w:t>的咨询者则在尚未预订时询问接待和押金，并表示是否入住还待</w:t>
      </w:r>
      <w:r>
        <w:rPr>
          <w:rFonts w:hint="eastAsia"/>
          <w:lang w:val="en-US" w:eastAsia="zh-CN"/>
        </w:rPr>
        <w:t>确定，因为不同酒店会有不同材料，而使用者的准备材料的难度也影响了是否预定和完成确认。</w:t>
      </w:r>
    </w:p>
    <w:p w14:paraId="4035039F">
      <w:pPr>
        <w:keepLines/>
        <w:ind w:firstLine="420"/>
      </w:pPr>
      <w:r>
        <w:t>电话答复能否传到实际接待岗位，是团队成员和社群伙伴住宿经历中反复遇到的问题。有人提前确认后，到店仍需重新解释或等待核实。使用者已经完成的说明，需要由酒店记录和交接；只有接待人员能够查到确认结果，预订时谈妥的安排才有条件延续到现场。</w:t>
      </w:r>
    </w:p>
    <w:p w14:paraId="293C3894">
      <w:pPr>
        <w:pStyle w:val="4"/>
      </w:pPr>
      <w:bookmarkStart w:id="13" w:name="_Toc239432606"/>
      <w:bookmarkStart w:id="14" w:name="_Toc240635834"/>
      <w:r>
        <w:t>六 品牌与城市的接待差异</w:t>
      </w:r>
      <w:bookmarkEnd w:id="13"/>
      <w:bookmarkEnd w:id="14"/>
    </w:p>
    <w:p w14:paraId="1A9E2999">
      <w:pPr>
        <w:rPr>
          <w:rFonts w:hint="eastAsia"/>
          <w:lang w:val="en-US" w:eastAsia="zh-CN"/>
        </w:rPr>
      </w:pPr>
      <w:r>
        <w:t>同一品牌的门店通常</w:t>
      </w:r>
      <w:r>
        <w:rPr>
          <w:rFonts w:hint="eastAsia"/>
          <w:lang w:val="en-US" w:eastAsia="zh-CN"/>
        </w:rPr>
        <w:t>号称是</w:t>
      </w:r>
      <w:r>
        <w:t>共享集团政策和管理体系，</w:t>
      </w:r>
      <w:r>
        <w:rPr>
          <w:rFonts w:hint="eastAsia"/>
          <w:lang w:val="en-US" w:eastAsia="zh-CN"/>
        </w:rPr>
        <w:t>是集团中的一员，但是在面对导盲犬使用者的咨询时，前台给出的</w:t>
      </w:r>
      <w:r>
        <w:t>实际答复却未必一致</w:t>
      </w:r>
      <w:r>
        <w:rPr>
          <w:rFonts w:hint="eastAsia"/>
          <w:lang w:eastAsia="zh-CN"/>
        </w:rPr>
        <w:t>，</w:t>
      </w:r>
      <w:r>
        <w:rPr>
          <w:rFonts w:hint="eastAsia"/>
          <w:lang w:val="en-US" w:eastAsia="zh-CN"/>
        </w:rPr>
        <w:t>这让很多社群伙伴无法根据品牌来选择出行酒店，因为还是会开盲盒，大家只能凭感觉，好像XX家的政策和门店好一点。</w:t>
      </w:r>
    </w:p>
    <w:p w14:paraId="53227E70">
      <w:pPr>
        <w:rPr>
          <w:rFonts w:hint="default"/>
          <w:lang w:val="en-US" w:eastAsia="zh-CN"/>
        </w:rPr>
      </w:pPr>
      <w:r>
        <w:rPr>
          <w:rFonts w:hint="eastAsia"/>
          <w:lang w:val="en-US" w:eastAsia="zh-CN"/>
        </w:rPr>
        <w:t>这种社群伙伴的感觉并不是空穴来风，虽然品牌门店内部之间有差异，但比较起来，对导盲犬的接纳程度还是有高下之分的，以及不同城市在面向导盲犬使用者携犬出行时候的包容度也有很大差异。</w:t>
      </w:r>
    </w:p>
    <w:p w14:paraId="06534708">
      <w:r>
        <w:t>以下先比较首次答复和接纳条件，再看品牌与城市的综合排行。各图保留样本量，便于把名次与具体接待表现放在一起阅读。</w:t>
      </w:r>
    </w:p>
    <w:p w14:paraId="4CD8B77D">
      <w:pPr>
        <w:pStyle w:val="5"/>
      </w:pPr>
      <w:r>
        <w:t>（一）首次答复与最终拒绝</w:t>
      </w:r>
    </w:p>
    <w:p w14:paraId="43D8B966">
      <w:pPr>
        <w:keepNext/>
        <w:spacing w:after="40"/>
        <w:jc w:val="center"/>
      </w:pPr>
      <w:r>
        <w:drawing>
          <wp:inline distT="0" distB="0" distL="0" distR="0">
            <wp:extent cx="5486400" cy="4541520"/>
            <wp:effectExtent l="0" t="0" r="0" b="0"/>
            <wp:docPr id="22" name="Picture 22" descr="各品牌水平条形图，绿色表示直接同意，红色表示最终拒绝。全季和汉庭直接同意率较高；格林豪泰和尚客优选最终拒绝率较高。每行标注品牌样本数、门店数和百分比。" title="各品牌水平条形图，绿色表示直接同意，红色表示最终拒绝。全季和汉庭直接同意率较高；格林豪泰和尚客优选最终拒绝率较高。每行标注品牌样本数、门店数和百分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各品牌水平条形图，绿色表示直接同意，红色表示最终拒绝。全季和汉庭直接同意率较高；格林豪泰和尚客优选最终拒绝率较高。每行标注品牌样本数、门店数和百分比。" title="各品牌水平条形图，绿色表示直接同意，红色表示最终拒绝。全季和汉庭直接同意率较高；格林豪泰和尚客优选最终拒绝率较高。每行标注品牌样本数、门店数和百分比。"/>
                    <pic:cNvPicPr>
                      <a:picLocks noChangeAspect="1"/>
                    </pic:cNvPicPr>
                  </pic:nvPicPr>
                  <pic:blipFill>
                    <a:blip r:embed="rId12"/>
                    <a:stretch>
                      <a:fillRect/>
                    </a:stretch>
                  </pic:blipFill>
                  <pic:spPr>
                    <a:xfrm>
                      <a:off x="0" y="0"/>
                      <a:ext cx="5486400" cy="4541520"/>
                    </a:xfrm>
                    <a:prstGeom prst="rect">
                      <a:avLst/>
                    </a:prstGeom>
                  </pic:spPr>
                </pic:pic>
              </a:graphicData>
            </a:graphic>
          </wp:inline>
        </w:drawing>
      </w:r>
    </w:p>
    <w:p w14:paraId="6C4D606F">
      <w:pPr>
        <w:pStyle w:val="173"/>
      </w:pPr>
      <w:r>
        <w:t>图3　各品牌直接同意率与最终拒绝率（各品牌n=47—60家）</w:t>
      </w:r>
    </w:p>
    <w:p w14:paraId="7DDB6DA4">
      <w:r>
        <w:t>全季和汉庭的直接同意率分别为79.3%和74.1%，最终拒绝率分别为12.1%和8.6%。格林豪泰和尚客优选的直接同意率分别为29.1%和27.7%，最终拒绝率分别为32.7%和31.9%。</w:t>
      </w:r>
    </w:p>
    <w:p w14:paraId="7BF8B53B"/>
    <w:p w14:paraId="03F038ED">
      <w:pPr>
        <w:pStyle w:val="5"/>
      </w:pPr>
      <w:r>
        <w:t>（二）接纳后的附带条件</w:t>
      </w:r>
    </w:p>
    <w:p w14:paraId="0F4D8F6C">
      <w:pPr>
        <w:keepNext/>
        <w:spacing w:after="40"/>
        <w:jc w:val="center"/>
      </w:pPr>
      <w:r>
        <w:drawing>
          <wp:inline distT="0" distB="0" distL="0" distR="0">
            <wp:extent cx="5486400" cy="4175760"/>
            <wp:effectExtent l="0" t="0" r="0" b="0"/>
            <wp:docPr id="24" name="Picture 24" descr="百分比堆叠条形图，分别显示无附加条件接纳、附带条件接纳和最终拒绝。附带条件采用原报告86家人工编码；每个品牌标注样本数。" title="百分比堆叠条形图，分别显示无附加条件接纳、附带条件接纳和最终拒绝。附带条件采用原报告86家人工编码；每个品牌标注样本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百分比堆叠条形图，分别显示无附加条件接纳、附带条件接纳和最终拒绝。附带条件采用原报告86家人工编码；每个品牌标注样本数。" title="百分比堆叠条形图，分别显示无附加条件接纳、附带条件接纳和最终拒绝。附带条件采用原报告86家人工编码；每个品牌标注样本数。"/>
                    <pic:cNvPicPr>
                      <a:picLocks noChangeAspect="1"/>
                    </pic:cNvPicPr>
                  </pic:nvPicPr>
                  <pic:blipFill>
                    <a:blip r:embed="rId13"/>
                    <a:stretch>
                      <a:fillRect/>
                    </a:stretch>
                  </pic:blipFill>
                  <pic:spPr>
                    <a:xfrm>
                      <a:off x="0" y="0"/>
                      <a:ext cx="5486400" cy="4175760"/>
                    </a:xfrm>
                    <a:prstGeom prst="rect">
                      <a:avLst/>
                    </a:prstGeom>
                  </pic:spPr>
                </pic:pic>
              </a:graphicData>
            </a:graphic>
          </wp:inline>
        </w:drawing>
      </w:r>
    </w:p>
    <w:p w14:paraId="2D83E6CC">
      <w:pPr>
        <w:pStyle w:val="173"/>
      </w:pPr>
      <w:r>
        <w:t>图5　各品牌接纳结果与附带条件（各品牌n=47—60家）</w:t>
      </w:r>
    </w:p>
    <w:p w14:paraId="3839DB4E">
      <w:r>
        <w:t>附带条件和最终拒绝是两类不同问题。维也纳、城市便捷和麗枫的最终拒绝率并不突出，但附带条件接纳比例分别为27.6%、26.5%和23.3%。</w:t>
      </w:r>
    </w:p>
    <w:p w14:paraId="1E9F05D9">
      <w:r>
        <w:t>汉庭、全季、7天和锦江之星的最终接纳率较为接近，均在87.5%至91.4%之间，差异主要出现在接纳方式。汉庭、全季、7天和锦江之星的附带条件接纳率分别为6.9%、5.2%、10.5%和16.1%。锦江之星的无附加条件接纳率为71.4%，比其最终接纳率低16.1个百分点。锦江之星近六分之一的样本门店虽然同意入住，却附加了收费、免责、房间或活动范围等条件。</w:t>
      </w:r>
    </w:p>
    <w:p w14:paraId="55B00662">
      <w:pPr>
        <w:pStyle w:val="5"/>
        <w:pageBreakBefore/>
      </w:pPr>
      <w:commentRangeStart w:id="0"/>
      <w:bookmarkStart w:id="15" w:name="_Toc239432607"/>
      <w:r>
        <w:t>（三）品牌综合排行</w:t>
      </w:r>
      <w:bookmarkEnd w:id="15"/>
      <w:commentRangeEnd w:id="0"/>
      <w:r>
        <w:rPr>
          <w:rStyle w:val="141"/>
          <w:sz w:val="23"/>
          <w:szCs w:val="22"/>
        </w:rPr>
        <w:commentReference w:id="0"/>
      </w:r>
    </w:p>
    <w:p w14:paraId="5CF1D26A">
      <w:r>
        <w:t>样本接纳与沟通指数由最终接纳、直接同意和一次独立通话内获得接纳三项构成，分别占6分、2分和2分。</w:t>
      </w:r>
    </w:p>
    <w:p w14:paraId="44220D2A">
      <w:r>
        <w:t>综合排行比较各组样本最终是否接纳，以及取得接纳需要多少沟通。附带条件单独列示，便于同时查看接纳之后的要求。以下得分与名次均对应调研期内的样本门店。</w:t>
      </w:r>
    </w:p>
    <w:p w14:paraId="1FA9E1CE">
      <w:pPr>
        <w:keepNext/>
        <w:spacing w:after="40"/>
        <w:jc w:val="center"/>
      </w:pPr>
      <w:r>
        <w:drawing>
          <wp:inline distT="0" distB="0" distL="0" distR="0">
            <wp:extent cx="5532120" cy="3742690"/>
            <wp:effectExtent l="0" t="0" r="0" b="0"/>
            <wp:docPr id="28" name="Picture 28" descr="10个酒店品牌样本接纳与沟通表现排行。汉庭8.48分、全季8.45分、7天7.86分位列前三。每行同时显示样本量、最终接纳率、直接同意率、一次通话接纳率和附带条件比例。" title="10个酒店品牌样本接纳与沟通表现排行。汉庭8.48分、全季8.45分、7天7.86分位列前三。每行同时显示样本量、最终接纳率、直接同意率、一次通话接纳率和附带条件比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10个酒店品牌样本接纳与沟通表现排行。汉庭8.48分、全季8.45分、7天7.86分位列前三。每行同时显示样本量、最终接纳率、直接同意率、一次通话接纳率和附带条件比例。" title="10个酒店品牌样本接纳与沟通表现排行。汉庭8.48分、全季8.45分、7天7.86分位列前三。每行同时显示样本量、最终接纳率、直接同意率、一次通话接纳率和附带条件比例。"/>
                    <pic:cNvPicPr>
                      <a:picLocks noChangeAspect="1"/>
                    </pic:cNvPicPr>
                  </pic:nvPicPr>
                  <pic:blipFill>
                    <a:blip r:embed="rId14"/>
                    <a:stretch>
                      <a:fillRect/>
                    </a:stretch>
                  </pic:blipFill>
                  <pic:spPr>
                    <a:xfrm>
                      <a:off x="0" y="0"/>
                      <a:ext cx="5532120" cy="3743063"/>
                    </a:xfrm>
                    <a:prstGeom prst="rect">
                      <a:avLst/>
                    </a:prstGeom>
                  </pic:spPr>
                </pic:pic>
              </a:graphicData>
            </a:graphic>
          </wp:inline>
        </w:drawing>
      </w:r>
    </w:p>
    <w:p w14:paraId="534865CA">
      <w:pPr>
        <w:pStyle w:val="173"/>
      </w:pPr>
      <w:r>
        <w:t>图6　10个品牌样本接纳与沟通表现排行（各品牌n=47—60家）</w:t>
      </w:r>
    </w:p>
    <w:p w14:paraId="1B75DAF0">
      <w:r>
        <w:t>汉庭和全季位列品牌样本前两位，得分分别为8.48和8.45。两个品牌表现较好的分项不同：汉庭最终接纳率更高，全季直接同意率和一次通话接纳率更高。尚客优选和格林豪泰的最终接纳率不足七成，位于本次品牌样本后两位。</w:t>
      </w:r>
    </w:p>
    <w:p w14:paraId="135CF9E3">
      <w:r>
        <w:t>各品牌平均独立通话次数也呈现不同的沟通负担：城市便捷为1.67次，锦江之星为1.52次，尚客优选和格林豪泰均为1.51次；汉庭为1.19次，全季为1.14次。</w:t>
      </w:r>
    </w:p>
    <w:p w14:paraId="70EB44FD">
      <w:r>
        <w:t>城市便捷的平均独立通话次数在10个品牌中最高，最终接纳率为85.7%；尚客优选和格林豪泰的最终接纳率分别为68.1%和67.3%。这三组样本的平均通话次数相近，沟通后的结果却不同：城市便捷多数最终接纳，另外两个品牌约三成样本最终拒绝。</w:t>
      </w:r>
    </w:p>
    <w:p w14:paraId="17159F82">
      <w:pPr>
        <w:rPr>
          <w:rFonts w:hint="default" w:eastAsia="宋体"/>
          <w:lang w:val="en-US" w:eastAsia="zh-CN"/>
        </w:rPr>
      </w:pPr>
      <w:r>
        <w:rPr>
          <w:rFonts w:hint="eastAsia"/>
          <w:lang w:val="en-US" w:eastAsia="zh-CN"/>
        </w:rPr>
        <w:t>虽然样本容量有限，以及调研时间有范围，但这类的品牌排行结果对导盲犬使用者出行选择酒店还是有指导性价值的，这也预示着导盲犬接纳度一致性排行高的品牌，其管理水平和人文风格都比较高。</w:t>
      </w:r>
    </w:p>
    <w:p w14:paraId="6A01FC8E"/>
    <w:p w14:paraId="5CB38CD9">
      <w:pPr>
        <w:pStyle w:val="5"/>
        <w:pageBreakBefore/>
      </w:pPr>
      <w:r>
        <w:t>（四）城市综合排行</w:t>
      </w:r>
    </w:p>
    <w:p w14:paraId="0CC2A1B6">
      <w:pPr>
        <w:keepNext/>
      </w:pPr>
      <w:r>
        <w:t>城市样本第1至15名</w:t>
      </w:r>
    </w:p>
    <w:p w14:paraId="21C28A14">
      <w:pPr>
        <w:keepNext/>
        <w:spacing w:after="40"/>
        <w:jc w:val="center"/>
      </w:pPr>
      <w:r>
        <w:drawing>
          <wp:inline distT="0" distB="0" distL="0" distR="0">
            <wp:extent cx="5394960" cy="4392295"/>
            <wp:effectExtent l="0" t="0" r="0" b="0"/>
            <wp:docPr id="29" name="Picture 29" descr="30座城市样本接纳与沟通表现排行的前15名。重庆8.90分、昆明8.74分、成都8.70分位列前三；每行显示样本量和四项分项信息。" title="30座城市样本接纳与沟通表现排行的前15名。重庆8.90分、昆明8.74分、成都8.70分位列前三；每行显示样本量和四项分项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30座城市样本接纳与沟通表现排行的前15名。重庆8.90分、昆明8.74分、成都8.70分位列前三；每行显示样本量和四项分项信息。" title="30座城市样本接纳与沟通表现排行的前15名。重庆8.90分、昆明8.74分、成都8.70分位列前三；每行显示样本量和四项分项信息。"/>
                    <pic:cNvPicPr>
                      <a:picLocks noChangeAspect="1"/>
                    </pic:cNvPicPr>
                  </pic:nvPicPr>
                  <pic:blipFill>
                    <a:blip r:embed="rId15"/>
                    <a:stretch>
                      <a:fillRect/>
                    </a:stretch>
                  </pic:blipFill>
                  <pic:spPr>
                    <a:xfrm>
                      <a:off x="0" y="0"/>
                      <a:ext cx="5394960" cy="4392685"/>
                    </a:xfrm>
                    <a:prstGeom prst="rect">
                      <a:avLst/>
                    </a:prstGeom>
                  </pic:spPr>
                </pic:pic>
              </a:graphicData>
            </a:graphic>
          </wp:inline>
        </w:drawing>
      </w:r>
    </w:p>
    <w:p w14:paraId="3F37D544">
      <w:pPr>
        <w:pStyle w:val="173"/>
      </w:pPr>
      <w:r>
        <w:t>图7　30城样本接纳与沟通表现排行（第1—15名，各城市n=15—20家）</w:t>
      </w:r>
    </w:p>
    <w:p w14:paraId="5BFD6DCA">
      <w:r>
        <w:t>重庆20家、昆明19家样本均未出现最终拒绝，最终接纳率均为100%；成都20家、深圳17家样本各有1家最终拒绝，最终接纳率分别为95.0%和94.1%。重庆和昆明的领先主要来自没有最终拒绝；成都和深圳虽各有1家拒绝，但直接同意率分别为75.0%和70.6%，仍处于榜单前列。</w:t>
      </w:r>
    </w:p>
    <w:p w14:paraId="2469C14A">
      <w:r>
        <w:t>城市样本还呈现出不同结构：珠海和深圳的无附加条件接纳率分别为89.5%和88.2%；大连、贵阳没有最终拒绝样本，但附带条件比例都接近40%。对使用者来说，所有受访门店最终同意，并不表示能够在同样的收费和使用条件下入住；附带条件需要在预订前另行确认。</w:t>
      </w:r>
    </w:p>
    <w:p w14:paraId="082904BC">
      <w:pPr>
        <w:keepNext/>
        <w:pageBreakBefore/>
      </w:pPr>
      <w:r>
        <w:t>城市样本第16至30名</w:t>
      </w:r>
    </w:p>
    <w:p w14:paraId="28A75366">
      <w:pPr>
        <w:keepNext/>
        <w:spacing w:after="40"/>
        <w:jc w:val="center"/>
      </w:pPr>
      <w:r>
        <w:drawing>
          <wp:inline distT="0" distB="0" distL="0" distR="0">
            <wp:extent cx="5394960" cy="4392295"/>
            <wp:effectExtent l="0" t="0" r="2540" b="1905"/>
            <wp:docPr id="1" name="Picture 30" descr="30座城市样本接纳与沟通表现排行的第16至30名。杭州4.60分、秦皇岛4.00分、北京3.26分位于末三位；每行显示样本量和四项分项信息。" title="30座城市样本接纳与沟通表现排行的第16至30名。杭州4.60分、秦皇岛4.00分、北京3.26分位于末三位；每行显示样本量和四项分项信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0" descr="30座城市样本接纳与沟通表现排行的第16至30名。杭州4.60分、秦皇岛4.00分、北京3.26分位于末三位；每行显示样本量和四项分项信息。" title="30座城市样本接纳与沟通表现排行的第16至30名。杭州4.60分、秦皇岛4.00分、北京3.26分位于末三位；每行显示样本量和四项分项信息。"/>
                    <pic:cNvPicPr>
                      <a:picLocks noChangeAspect="1"/>
                    </pic:cNvPicPr>
                  </pic:nvPicPr>
                  <pic:blipFill>
                    <a:blip r:embed="rId16"/>
                    <a:stretch>
                      <a:fillRect/>
                    </a:stretch>
                  </pic:blipFill>
                  <pic:spPr>
                    <a:xfrm>
                      <a:off x="0" y="0"/>
                      <a:ext cx="5394960" cy="4392685"/>
                    </a:xfrm>
                    <a:prstGeom prst="rect">
                      <a:avLst/>
                    </a:prstGeom>
                  </pic:spPr>
                </pic:pic>
              </a:graphicData>
            </a:graphic>
          </wp:inline>
        </w:drawing>
      </w:r>
    </w:p>
    <w:p w14:paraId="36374540">
      <w:pPr>
        <w:pStyle w:val="173"/>
      </w:pPr>
      <w:r>
        <w:t>图8　30城样本接纳与沟通表现排行（第16—30名，各城市n=15—20家）</w:t>
      </w:r>
    </w:p>
    <w:p w14:paraId="01686FE3">
      <w:r>
        <w:t>北京、秦皇岛和杭州位于本次城市样本末三位。北京19家样本中有10家最终拒绝，最终拒绝率为52.6%；秦皇岛16家中有8家，最终拒绝率为50.0%；青岛最终拒绝率为45.0%。杭州20家中有8家最终拒绝。以上结果对应每城15—20家的调研样本。</w:t>
      </w:r>
    </w:p>
    <w:p w14:paraId="6E402880">
      <w:pPr>
        <w:rPr>
          <w:rFonts w:hint="default" w:eastAsia="宋体"/>
          <w:lang w:val="en-US" w:eastAsia="zh-CN"/>
        </w:rPr>
      </w:pPr>
      <w:r>
        <w:rPr>
          <w:rFonts w:hint="eastAsia"/>
          <w:lang w:val="en-US" w:eastAsia="zh-CN"/>
        </w:rPr>
        <w:t>为何北京、秦皇岛和杭州会在城市排行中垫底，这也是研究团队想不出来的原因，按道理来说北京作为全国政治中心，秦皇岛作为旅游城市，杭州作为新一线城市，无论是遵守法律法规，还是吸引游客设定的友好政策都不应该造就如此结果。这有待研究团队的进一步研究和分析。</w:t>
      </w:r>
    </w:p>
    <w:p w14:paraId="6F2F52F2">
      <w:pPr>
        <w:pStyle w:val="5"/>
      </w:pPr>
      <w:r>
        <w:t>（五）同品牌门店差异与样本解释</w:t>
      </w:r>
    </w:p>
    <w:p w14:paraId="51B2B5A3">
      <w:r>
        <w:t>同一品牌内部同样可能给出不同答案。以全季为例，58家门店中，46家第一轮明确同意，5家进一步沟通后同意，另有7家最终拒绝。</w:t>
      </w:r>
      <w:r>
        <w:rPr>
          <w:rFonts w:hint="eastAsia"/>
          <w:lang w:val="en-US" w:eastAsia="zh-CN"/>
        </w:rPr>
        <w:t>这说明，即使是表现很好的全季，也可能会让导盲犬使用者触发拒绝入住答复，门店之间的差异，当事接待的具体员工对导盲犬使用者的入住体验影响非常大。</w:t>
      </w:r>
    </w:p>
    <w:p w14:paraId="7F10C70F">
      <w:pPr>
        <w:rPr>
          <w:rFonts w:hint="default"/>
          <w:lang w:val="en-US"/>
        </w:rPr>
      </w:pPr>
      <w:r>
        <w:rPr>
          <w:rFonts w:hint="eastAsia"/>
          <w:lang w:eastAsia="zh-CN"/>
        </w:rPr>
        <w:t>城市之间的差异还与调查时间和样本构成有关。北京、上海等城市在较早批次接受调查，其余城市在后续批次调查，两批覆盖不同门店，期间的社会情境（</w:t>
      </w:r>
      <w:r>
        <w:rPr>
          <w:rFonts w:hint="eastAsia"/>
          <w:lang w:val="en-US" w:eastAsia="zh-CN"/>
        </w:rPr>
        <w:t>发生了导盲犬使用者自媒体博主被酒店拒绝入住之后的视频大火引发全网热议</w:t>
      </w:r>
      <w:r>
        <w:rPr>
          <w:rFonts w:hint="eastAsia"/>
          <w:lang w:eastAsia="zh-CN"/>
        </w:rPr>
        <w:t>）也有变化。</w:t>
      </w:r>
      <w:r>
        <w:rPr>
          <w:rFonts w:hint="eastAsia"/>
          <w:lang w:val="en-US" w:eastAsia="zh-CN"/>
        </w:rPr>
        <w:t>这些因素都可能影响城市之间的表现差异。</w:t>
      </w:r>
    </w:p>
    <w:p w14:paraId="006A9213">
      <w:pPr>
        <w:pStyle w:val="4"/>
      </w:pPr>
      <w:bookmarkStart w:id="16" w:name="_Toc239432608"/>
      <w:bookmarkStart w:id="17" w:name="_Toc240635835"/>
      <w:r>
        <w:t>七 研究发现小结</w:t>
      </w:r>
      <w:bookmarkEnd w:id="16"/>
      <w:bookmarkEnd w:id="17"/>
    </w:p>
    <w:p w14:paraId="398E1FF5">
      <w:pPr>
        <w:rPr>
          <w:rFonts w:hint="default" w:eastAsia="宋体"/>
          <w:lang w:val="en-US" w:eastAsia="zh-CN"/>
        </w:rPr>
      </w:pPr>
      <w:r>
        <w:rPr>
          <w:rFonts w:hint="eastAsia"/>
          <w:lang w:val="en-US" w:eastAsia="zh-CN"/>
        </w:rPr>
        <w:t>研究发现，导盲犬使用者入住酒店的时候往往遇到三重障碍：</w:t>
      </w:r>
    </w:p>
    <w:p w14:paraId="1372940F">
      <w:r>
        <w:t>第一重障碍是拒绝接待。46家门店在第一轮直接拒绝，47家经过进一步说明、等待或请示后仍然拒绝。</w:t>
      </w:r>
    </w:p>
    <w:p w14:paraId="2DA6BCEC">
      <w:r>
        <w:t>第二重障碍是沟通负担。187家门店需要2次及以上独立通话，占33.5%；部分只记录1次通话的样本，也经历了解释、等待或内部确认。</w:t>
      </w:r>
    </w:p>
    <w:p w14:paraId="70AA74EC">
      <w:r>
        <w:t>第三重障碍是附带条件接纳。86家门店提出额外收费、免责、房间安排或活动范围限制，占全部样本的15.4%，占最终接纳门店的18.5%。</w:t>
      </w:r>
    </w:p>
    <w:p w14:paraId="5654795B">
      <w:pPr>
        <w:rPr>
          <w:rFonts w:hint="eastAsia"/>
          <w:lang w:val="en-US" w:eastAsia="zh-CN"/>
        </w:rPr>
      </w:pPr>
      <w:r>
        <w:rPr>
          <w:rFonts w:hint="eastAsia"/>
          <w:lang w:val="en-US" w:eastAsia="zh-CN"/>
        </w:rPr>
        <w:t>在和接近一半的酒店沟通的时候，导盲犬使用者会进行反复的解释和等待回电，即使最终确认入住，也可能会附带很多其他的附带条件，比如宠物付费，比如押金。这一切都不会是普通的酒店住宿咨询者会经历的。</w:t>
      </w:r>
    </w:p>
    <w:p w14:paraId="4FEF04E9">
      <w:r>
        <w:rPr>
          <w:rFonts w:hint="eastAsia"/>
          <w:lang w:val="en-US" w:eastAsia="zh-CN"/>
        </w:rPr>
        <w:t>对导盲犬的接纳度在</w:t>
      </w:r>
      <w:r>
        <w:t>品牌和城市样本之间</w:t>
      </w:r>
      <w:r>
        <w:rPr>
          <w:rFonts w:hint="eastAsia"/>
          <w:lang w:val="en-US" w:eastAsia="zh-CN"/>
        </w:rPr>
        <w:t>也会</w:t>
      </w:r>
      <w:r>
        <w:t>存在差异。汉庭和全季位列品牌样本前两位，但汉庭最终接纳率更高，全季更常在第一次联系时明确接纳；重庆和昆明样本均未出现最终拒绝。</w:t>
      </w:r>
    </w:p>
    <w:p w14:paraId="07F0EA43">
      <w:pPr>
        <w:rPr>
          <w:rFonts w:hint="default" w:eastAsia="宋体"/>
          <w:lang w:val="en-US" w:eastAsia="zh-CN"/>
        </w:rPr>
      </w:pPr>
      <w:r>
        <w:rPr>
          <w:rFonts w:hint="eastAsia"/>
          <w:lang w:val="en-US" w:eastAsia="zh-CN"/>
        </w:rPr>
        <w:t>但如前所说，这也并不能构成导盲犬使用者出行之前的有效指南，落实到具体的门店和接待人员，他们面对导盲犬的态度对于使用者来说是未知的，仍然是一个黑箱。</w:t>
      </w:r>
    </w:p>
    <w:p w14:paraId="1F9C2F32">
      <w:pPr>
        <w:pStyle w:val="3"/>
        <w:pageBreakBefore/>
      </w:pPr>
      <w:bookmarkStart w:id="18" w:name="_Toc239432609"/>
      <w:bookmarkStart w:id="19" w:name="_Toc240635836"/>
      <w:r>
        <w:rPr>
          <w:rFonts w:ascii="宋体" w:hAnsi="宋体" w:eastAsia="宋体"/>
          <w:b w:val="0"/>
        </w:rPr>
        <w:t>第二章 原因分析</w:t>
      </w:r>
      <w:bookmarkEnd w:id="18"/>
      <w:bookmarkEnd w:id="19"/>
    </w:p>
    <w:p w14:paraId="635C36A4">
      <w:pPr>
        <w:rPr>
          <w:rFonts w:hint="eastAsia"/>
          <w:lang w:val="en-US" w:eastAsia="zh-CN"/>
        </w:rPr>
      </w:pPr>
      <w:r>
        <w:rPr>
          <w:rFonts w:hint="eastAsia"/>
          <w:lang w:val="en-US" w:eastAsia="zh-CN"/>
        </w:rPr>
        <w:t>那为什么国家法律对导盲犬入住酒店等公共场所有规定，导盲犬使用者在实际生活中的感受还是如此糟糕呢？</w:t>
      </w:r>
    </w:p>
    <w:p w14:paraId="45CB4EC1">
      <w:r>
        <w:rPr>
          <w:rFonts w:hint="eastAsia"/>
          <w:lang w:val="en-US" w:eastAsia="zh-CN"/>
        </w:rPr>
        <w:t>是哪一个环节出现了问题呢？</w:t>
      </w:r>
      <w:r>
        <w:t>研究团队成员的住宿经验及与使用者的交流表明，许多视障者能够依靠导盲犬、盲杖或空间记忆独立完成出行和入住。清楚的方向、设施位置和按需引导，有助于他们使用陌生环境。携带导盲犬或需要环境信息，并不意味着住客无法独立入住。</w:t>
      </w:r>
    </w:p>
    <w:p w14:paraId="0E2CA26D">
      <w:r>
        <w:rPr>
          <w:rFonts w:hint="eastAsia"/>
          <w:lang w:val="en-US" w:eastAsia="zh-CN"/>
        </w:rPr>
        <w:t>但在</w:t>
      </w:r>
      <w:r>
        <w:t>电话咨询中，一些门店却把导盲犬当作普通宠物，或先怀疑视障者能否独立行动；另一些门店需要逐级请示才能作出答复。</w:t>
      </w:r>
    </w:p>
    <w:p w14:paraId="239927CB">
      <w:pPr>
        <w:rPr>
          <w:lang w:eastAsia="zh-CN"/>
        </w:rPr>
      </w:pPr>
      <w:r>
        <w:t>结合</w:t>
      </w:r>
      <w:r>
        <w:rPr>
          <w:rFonts w:hint="eastAsia"/>
          <w:lang w:val="en-US" w:eastAsia="zh-CN"/>
        </w:rPr>
        <w:t>研究团队的</w:t>
      </w:r>
      <w:r>
        <w:t>电话记录、预订平台标注、集团公开材料和客服回复，</w:t>
      </w:r>
      <w:r>
        <w:rPr>
          <w:rFonts w:hint="eastAsia"/>
          <w:lang w:val="en-US" w:eastAsia="zh-CN"/>
        </w:rPr>
        <w:t>我们</w:t>
      </w:r>
      <w:r>
        <w:t>可以进一步分析</w:t>
      </w:r>
      <w:r>
        <w:rPr>
          <w:rFonts w:hint="eastAsia"/>
          <w:lang w:val="en-US" w:eastAsia="zh-CN"/>
        </w:rPr>
        <w:t>国家法律的规定在酒店业的</w:t>
      </w:r>
      <w:r>
        <w:t>接待规则</w:t>
      </w:r>
      <w:r>
        <w:rPr>
          <w:rFonts w:hint="eastAsia"/>
          <w:lang w:val="en-US" w:eastAsia="zh-CN"/>
        </w:rPr>
        <w:t>链条中是</w:t>
      </w:r>
      <w:r>
        <w:t>如何传递</w:t>
      </w:r>
      <w:r>
        <w:rPr>
          <w:rFonts w:hint="eastAsia"/>
          <w:lang w:val="en-US" w:eastAsia="zh-CN"/>
        </w:rPr>
        <w:t>的</w:t>
      </w:r>
      <w:r>
        <w:t>、</w:t>
      </w:r>
      <w:r>
        <w:rPr>
          <w:rFonts w:hint="eastAsia"/>
          <w:lang w:val="en-US" w:eastAsia="zh-CN"/>
        </w:rPr>
        <w:t>酒店</w:t>
      </w:r>
      <w:r>
        <w:t>一线人员</w:t>
      </w:r>
      <w:r>
        <w:rPr>
          <w:rFonts w:hint="eastAsia"/>
          <w:lang w:val="en-US" w:eastAsia="zh-CN"/>
        </w:rPr>
        <w:t>是</w:t>
      </w:r>
      <w:r>
        <w:t>如何理解</w:t>
      </w:r>
      <w:r>
        <w:rPr>
          <w:rFonts w:hint="eastAsia"/>
          <w:lang w:val="en-US" w:eastAsia="zh-CN"/>
        </w:rPr>
        <w:t>导盲犬使用者的住宿</w:t>
      </w:r>
      <w:r>
        <w:t>需求</w:t>
      </w:r>
      <w:r>
        <w:rPr>
          <w:rFonts w:hint="eastAsia"/>
          <w:lang w:val="en-US" w:eastAsia="zh-CN"/>
        </w:rPr>
        <w:t>的</w:t>
      </w:r>
      <w:r>
        <w:t>，以及</w:t>
      </w:r>
      <w:r>
        <w:rPr>
          <w:rFonts w:hint="eastAsia"/>
          <w:lang w:val="en-US" w:eastAsia="zh-CN"/>
        </w:rPr>
        <w:t>使用者收到的来自酒店方的</w:t>
      </w:r>
      <w:r>
        <w:t>拒绝、反复沟通和附带条件</w:t>
      </w:r>
      <w:r>
        <w:rPr>
          <w:rFonts w:hint="eastAsia"/>
          <w:lang w:val="en-US" w:eastAsia="zh-CN"/>
        </w:rPr>
        <w:t>是</w:t>
      </w:r>
      <w:r>
        <w:t>如何形成。</w:t>
      </w:r>
    </w:p>
    <w:p w14:paraId="45985CE1">
      <w:pPr>
        <w:pStyle w:val="4"/>
      </w:pPr>
      <w:bookmarkStart w:id="20" w:name="_Toc240635837"/>
      <w:bookmarkStart w:id="21" w:name="_Toc239432610"/>
      <w:r>
        <w:rPr>
          <w:rFonts w:ascii="宋体" w:hAnsi="宋体" w:eastAsia="宋体"/>
          <w:b w:val="0"/>
        </w:rPr>
        <w:t>一 制度与信息传递</w:t>
      </w:r>
      <w:bookmarkEnd w:id="20"/>
      <w:bookmarkEnd w:id="21"/>
    </w:p>
    <w:p w14:paraId="012FFE2E">
      <w:pPr>
        <w:pStyle w:val="5"/>
        <w:numPr>
          <w:ilvl w:val="2"/>
          <w:numId w:val="1"/>
        </w:numPr>
      </w:pPr>
      <w:commentRangeStart w:id="1"/>
      <w:r>
        <w:t>（一）集团接待规则</w:t>
      </w:r>
      <w:commentRangeEnd w:id="1"/>
      <w:r>
        <w:rPr>
          <w:rStyle w:val="141"/>
          <w:sz w:val="23"/>
          <w:szCs w:val="22"/>
        </w:rPr>
        <w:commentReference w:id="1"/>
      </w:r>
    </w:p>
    <w:p w14:paraId="2936E768">
      <w:r>
        <w:t>导盲犬使用者在预订酒店前，通常需要确认三个问题：预订页面是否明确说明可以携带导盲犬；集团是否制定适用于各门店的统一规则；入住时需要提供哪些证件或证明材料。</w:t>
      </w:r>
    </w:p>
    <w:p w14:paraId="3A583934">
      <w:pPr>
        <w:pStyle w:val="173"/>
      </w:pPr>
      <w:r>
        <w:rPr>
          <w:rFonts w:ascii="宋体" w:hAnsi="宋体"/>
          <w:b w:val="0"/>
        </w:rPr>
        <w:t>表1　各品牌导盲犬入住的准入要求与查验标准</w:t>
      </w:r>
    </w:p>
    <w:tbl>
      <w:tblPr>
        <w:tblStyle w:val="37"/>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1592"/>
        <w:gridCol w:w="1338"/>
        <w:gridCol w:w="2675"/>
        <w:gridCol w:w="2675"/>
      </w:tblGrid>
      <w:tr w14:paraId="506BE8D7">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592" w:type="dxa"/>
            <w:shd w:val="clear" w:color="auto" w:fill="2C2C2C"/>
            <w:tcMar>
              <w:top w:w="90" w:type="dxa"/>
              <w:left w:w="100" w:type="dxa"/>
              <w:bottom w:w="90" w:type="dxa"/>
              <w:right w:w="100" w:type="dxa"/>
            </w:tcMar>
            <w:vAlign w:val="center"/>
          </w:tcPr>
          <w:p w14:paraId="65975C9D">
            <w:pPr>
              <w:keepNext/>
              <w:spacing w:before="0" w:after="0" w:line="264" w:lineRule="auto"/>
              <w:jc w:val="center"/>
            </w:pPr>
            <w:r>
              <w:rPr>
                <w:rFonts w:eastAsia="黑体"/>
                <w:b/>
                <w:color w:val="FFFFFF"/>
                <w:sz w:val="17"/>
              </w:rPr>
              <w:t>集团名称与电话</w:t>
            </w:r>
          </w:p>
        </w:tc>
        <w:tc>
          <w:tcPr>
            <w:tcW w:w="1338" w:type="dxa"/>
            <w:shd w:val="clear" w:color="auto" w:fill="2C2C2C"/>
            <w:tcMar>
              <w:top w:w="90" w:type="dxa"/>
              <w:left w:w="100" w:type="dxa"/>
              <w:bottom w:w="90" w:type="dxa"/>
              <w:right w:w="100" w:type="dxa"/>
            </w:tcMar>
            <w:vAlign w:val="center"/>
          </w:tcPr>
          <w:p w14:paraId="7AC8D796">
            <w:pPr>
              <w:keepNext/>
              <w:spacing w:before="0" w:after="0" w:line="264" w:lineRule="auto"/>
              <w:jc w:val="center"/>
            </w:pPr>
            <w:r>
              <w:rPr>
                <w:rFonts w:eastAsia="黑体"/>
                <w:b/>
                <w:color w:val="FFFFFF"/>
                <w:sz w:val="17"/>
              </w:rPr>
              <w:t>品牌</w:t>
            </w:r>
          </w:p>
        </w:tc>
        <w:tc>
          <w:tcPr>
            <w:tcW w:w="2675" w:type="dxa"/>
            <w:shd w:val="clear" w:color="auto" w:fill="2C2C2C"/>
            <w:tcMar>
              <w:top w:w="90" w:type="dxa"/>
              <w:left w:w="100" w:type="dxa"/>
              <w:bottom w:w="90" w:type="dxa"/>
              <w:right w:w="100" w:type="dxa"/>
            </w:tcMar>
            <w:vAlign w:val="center"/>
          </w:tcPr>
          <w:p w14:paraId="06038C8F">
            <w:pPr>
              <w:keepNext/>
              <w:spacing w:before="0" w:after="0" w:line="264" w:lineRule="auto"/>
              <w:jc w:val="center"/>
            </w:pPr>
            <w:r>
              <w:rPr>
                <w:rFonts w:eastAsia="黑体"/>
                <w:b/>
                <w:color w:val="FFFFFF"/>
                <w:sz w:val="17"/>
              </w:rPr>
              <w:t>入住规定</w:t>
            </w:r>
          </w:p>
        </w:tc>
        <w:tc>
          <w:tcPr>
            <w:tcW w:w="2675" w:type="dxa"/>
            <w:shd w:val="clear" w:color="auto" w:fill="2C2C2C"/>
            <w:tcMar>
              <w:top w:w="90" w:type="dxa"/>
              <w:left w:w="100" w:type="dxa"/>
              <w:bottom w:w="90" w:type="dxa"/>
              <w:right w:w="100" w:type="dxa"/>
            </w:tcMar>
            <w:vAlign w:val="center"/>
          </w:tcPr>
          <w:p w14:paraId="5133EF30">
            <w:pPr>
              <w:keepNext/>
              <w:spacing w:before="0" w:after="0" w:line="264" w:lineRule="auto"/>
              <w:jc w:val="center"/>
            </w:pPr>
            <w:r>
              <w:rPr>
                <w:rFonts w:eastAsia="黑体"/>
                <w:b/>
                <w:color w:val="FFFFFF"/>
                <w:sz w:val="17"/>
              </w:rPr>
              <w:t>具体要求</w:t>
            </w:r>
          </w:p>
        </w:tc>
      </w:tr>
      <w:tr w14:paraId="0409BA8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592" w:type="dxa"/>
            <w:shd w:val="clear" w:color="auto" w:fill="FFFFFF"/>
            <w:tcMar>
              <w:top w:w="90" w:type="dxa"/>
              <w:left w:w="100" w:type="dxa"/>
              <w:bottom w:w="90" w:type="dxa"/>
              <w:right w:w="100" w:type="dxa"/>
            </w:tcMar>
            <w:vAlign w:val="center"/>
          </w:tcPr>
          <w:p w14:paraId="56D0693B">
            <w:pPr>
              <w:spacing w:before="0" w:after="0" w:line="264" w:lineRule="auto"/>
              <w:jc w:val="center"/>
            </w:pPr>
            <w:r>
              <w:rPr>
                <w:sz w:val="17"/>
              </w:rPr>
              <w:t>华住集团</w:t>
            </w:r>
            <w:r>
              <w:rPr>
                <w:sz w:val="17"/>
              </w:rPr>
              <w:br w:type="textWrapping"/>
            </w:r>
            <w:r>
              <w:rPr>
                <w:sz w:val="17"/>
              </w:rPr>
              <w:t>4008121121</w:t>
            </w:r>
          </w:p>
        </w:tc>
        <w:tc>
          <w:tcPr>
            <w:tcW w:w="1338" w:type="dxa"/>
            <w:shd w:val="clear" w:color="auto" w:fill="FFFFFF"/>
            <w:tcMar>
              <w:top w:w="90" w:type="dxa"/>
              <w:left w:w="100" w:type="dxa"/>
              <w:bottom w:w="90" w:type="dxa"/>
              <w:right w:w="100" w:type="dxa"/>
            </w:tcMar>
            <w:vAlign w:val="center"/>
          </w:tcPr>
          <w:p w14:paraId="1461D035">
            <w:pPr>
              <w:spacing w:before="0" w:after="0" w:line="264" w:lineRule="auto"/>
              <w:jc w:val="center"/>
            </w:pPr>
            <w:r>
              <w:rPr>
                <w:sz w:val="17"/>
              </w:rPr>
              <w:t>汉庭、全季</w:t>
            </w:r>
          </w:p>
        </w:tc>
        <w:tc>
          <w:tcPr>
            <w:tcW w:w="2675" w:type="dxa"/>
            <w:shd w:val="clear" w:color="auto" w:fill="FFFFFF"/>
            <w:tcMar>
              <w:top w:w="90" w:type="dxa"/>
              <w:left w:w="100" w:type="dxa"/>
              <w:bottom w:w="90" w:type="dxa"/>
              <w:right w:w="100" w:type="dxa"/>
            </w:tcMar>
            <w:vAlign w:val="center"/>
          </w:tcPr>
          <w:p w14:paraId="077D3795">
            <w:pPr>
              <w:spacing w:before="0" w:after="0" w:line="264" w:lineRule="auto"/>
              <w:jc w:val="left"/>
            </w:pPr>
            <w:r>
              <w:rPr>
                <w:sz w:val="17"/>
              </w:rPr>
              <w:t>预定页书面规定：允许携带服务型宠物（需提前联系门店）</w:t>
            </w:r>
          </w:p>
        </w:tc>
        <w:tc>
          <w:tcPr>
            <w:tcW w:w="2675" w:type="dxa"/>
            <w:shd w:val="clear" w:color="auto" w:fill="FFFFFF"/>
            <w:tcMar>
              <w:top w:w="90" w:type="dxa"/>
              <w:left w:w="100" w:type="dxa"/>
              <w:bottom w:w="90" w:type="dxa"/>
              <w:right w:w="100" w:type="dxa"/>
            </w:tcMar>
            <w:vAlign w:val="center"/>
          </w:tcPr>
          <w:p w14:paraId="69C9F6B0">
            <w:pPr>
              <w:spacing w:before="0" w:after="0" w:line="264" w:lineRule="auto"/>
              <w:jc w:val="left"/>
            </w:pPr>
            <w:r>
              <w:rPr>
                <w:sz w:val="17"/>
              </w:rPr>
              <w:t>预定页书面规定：携带有效的宠物证件和疫苗接种证明，不收取清洁费</w:t>
            </w:r>
          </w:p>
        </w:tc>
      </w:tr>
      <w:tr w14:paraId="0F4EE0D4">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592" w:type="dxa"/>
            <w:shd w:val="clear" w:color="auto" w:fill="FAFAF8"/>
            <w:tcMar>
              <w:top w:w="90" w:type="dxa"/>
              <w:left w:w="100" w:type="dxa"/>
              <w:bottom w:w="90" w:type="dxa"/>
              <w:right w:w="100" w:type="dxa"/>
            </w:tcMar>
            <w:vAlign w:val="center"/>
          </w:tcPr>
          <w:p w14:paraId="044642F6">
            <w:pPr>
              <w:spacing w:before="0" w:after="0" w:line="264" w:lineRule="auto"/>
              <w:jc w:val="center"/>
            </w:pPr>
            <w:r>
              <w:rPr>
                <w:sz w:val="17"/>
              </w:rPr>
              <w:t>锦江集团</w:t>
            </w:r>
            <w:r>
              <w:rPr>
                <w:sz w:val="17"/>
              </w:rPr>
              <w:br w:type="textWrapping"/>
            </w:r>
            <w:r>
              <w:rPr>
                <w:sz w:val="17"/>
              </w:rPr>
              <w:t>4008209999</w:t>
            </w:r>
          </w:p>
        </w:tc>
        <w:tc>
          <w:tcPr>
            <w:tcW w:w="1338" w:type="dxa"/>
            <w:shd w:val="clear" w:color="auto" w:fill="FAFAF8"/>
            <w:tcMar>
              <w:top w:w="90" w:type="dxa"/>
              <w:left w:w="100" w:type="dxa"/>
              <w:bottom w:w="90" w:type="dxa"/>
              <w:right w:w="100" w:type="dxa"/>
            </w:tcMar>
            <w:vAlign w:val="center"/>
          </w:tcPr>
          <w:p w14:paraId="16839064">
            <w:pPr>
              <w:spacing w:before="0" w:after="0" w:line="264" w:lineRule="auto"/>
              <w:jc w:val="center"/>
            </w:pPr>
            <w:r>
              <w:rPr>
                <w:sz w:val="17"/>
              </w:rPr>
              <w:t>维也纳、七天、锦江之星、麗枫</w:t>
            </w:r>
          </w:p>
        </w:tc>
        <w:tc>
          <w:tcPr>
            <w:tcW w:w="2675" w:type="dxa"/>
            <w:shd w:val="clear" w:color="auto" w:fill="FAFAF8"/>
            <w:tcMar>
              <w:top w:w="90" w:type="dxa"/>
              <w:left w:w="100" w:type="dxa"/>
              <w:bottom w:w="90" w:type="dxa"/>
              <w:right w:w="100" w:type="dxa"/>
            </w:tcMar>
            <w:vAlign w:val="center"/>
          </w:tcPr>
          <w:p w14:paraId="50470892">
            <w:pPr>
              <w:spacing w:before="0" w:after="0" w:line="264" w:lineRule="auto"/>
              <w:jc w:val="left"/>
            </w:pPr>
            <w:r>
              <w:rPr>
                <w:sz w:val="17"/>
              </w:rPr>
              <w:t>总部文件书面规定：不允许不接待导盲犬；不得拒绝入住</w:t>
            </w:r>
          </w:p>
        </w:tc>
        <w:tc>
          <w:tcPr>
            <w:tcW w:w="2675" w:type="dxa"/>
            <w:shd w:val="clear" w:color="auto" w:fill="FAFAF8"/>
            <w:tcMar>
              <w:top w:w="90" w:type="dxa"/>
              <w:left w:w="100" w:type="dxa"/>
              <w:bottom w:w="90" w:type="dxa"/>
              <w:right w:w="100" w:type="dxa"/>
            </w:tcMar>
            <w:vAlign w:val="center"/>
          </w:tcPr>
          <w:p w14:paraId="5020A460">
            <w:pPr>
              <w:spacing w:before="0" w:after="0" w:line="264" w:lineRule="auto"/>
              <w:jc w:val="left"/>
            </w:pPr>
            <w:r>
              <w:rPr>
                <w:sz w:val="17"/>
              </w:rPr>
              <w:t>总部文件书面规定：导盲犬使用者需配合提供导盲犬证和疫苗接种证明</w:t>
            </w:r>
          </w:p>
        </w:tc>
      </w:tr>
      <w:tr w14:paraId="0BE0A32E">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592" w:type="dxa"/>
            <w:shd w:val="clear" w:color="auto" w:fill="FFFFFF"/>
            <w:tcMar>
              <w:top w:w="90" w:type="dxa"/>
              <w:left w:w="100" w:type="dxa"/>
              <w:bottom w:w="90" w:type="dxa"/>
              <w:right w:w="100" w:type="dxa"/>
            </w:tcMar>
            <w:vAlign w:val="center"/>
          </w:tcPr>
          <w:p w14:paraId="6013D258">
            <w:pPr>
              <w:spacing w:before="0" w:after="0" w:line="264" w:lineRule="auto"/>
              <w:jc w:val="center"/>
            </w:pPr>
            <w:r>
              <w:rPr>
                <w:sz w:val="17"/>
              </w:rPr>
              <w:t>首旅集团</w:t>
            </w:r>
            <w:r>
              <w:rPr>
                <w:sz w:val="17"/>
              </w:rPr>
              <w:br w:type="textWrapping"/>
            </w:r>
            <w:r>
              <w:rPr>
                <w:sz w:val="17"/>
              </w:rPr>
              <w:t>4008203333</w:t>
            </w:r>
          </w:p>
        </w:tc>
        <w:tc>
          <w:tcPr>
            <w:tcW w:w="1338" w:type="dxa"/>
            <w:shd w:val="clear" w:color="auto" w:fill="FFFFFF"/>
            <w:tcMar>
              <w:top w:w="90" w:type="dxa"/>
              <w:left w:w="100" w:type="dxa"/>
              <w:bottom w:w="90" w:type="dxa"/>
              <w:right w:w="100" w:type="dxa"/>
            </w:tcMar>
            <w:vAlign w:val="center"/>
          </w:tcPr>
          <w:p w14:paraId="7379760C">
            <w:pPr>
              <w:spacing w:before="0" w:after="0" w:line="264" w:lineRule="auto"/>
              <w:jc w:val="center"/>
            </w:pPr>
            <w:r>
              <w:rPr>
                <w:sz w:val="17"/>
              </w:rPr>
              <w:t>如家</w:t>
            </w:r>
          </w:p>
        </w:tc>
        <w:tc>
          <w:tcPr>
            <w:tcW w:w="2675" w:type="dxa"/>
            <w:shd w:val="clear" w:color="auto" w:fill="FFFFFF"/>
            <w:tcMar>
              <w:top w:w="90" w:type="dxa"/>
              <w:left w:w="100" w:type="dxa"/>
              <w:bottom w:w="90" w:type="dxa"/>
              <w:right w:w="100" w:type="dxa"/>
            </w:tcMar>
            <w:vAlign w:val="center"/>
          </w:tcPr>
          <w:p w14:paraId="15B2A2C6">
            <w:pPr>
              <w:spacing w:before="0" w:after="0" w:line="264" w:lineRule="auto"/>
              <w:jc w:val="left"/>
            </w:pPr>
            <w:r>
              <w:rPr>
                <w:sz w:val="17"/>
              </w:rPr>
              <w:t>客服回应：不拒绝入住，无法提供纸质材料，门店拒绝可以由客服联系和协调</w:t>
            </w:r>
          </w:p>
        </w:tc>
        <w:tc>
          <w:tcPr>
            <w:tcW w:w="2675" w:type="dxa"/>
            <w:shd w:val="clear" w:color="auto" w:fill="FFFFFF"/>
            <w:tcMar>
              <w:top w:w="90" w:type="dxa"/>
              <w:left w:w="100" w:type="dxa"/>
              <w:bottom w:w="90" w:type="dxa"/>
              <w:right w:w="100" w:type="dxa"/>
            </w:tcMar>
            <w:vAlign w:val="center"/>
          </w:tcPr>
          <w:p w14:paraId="011B3583">
            <w:pPr>
              <w:spacing w:before="0" w:after="0" w:line="264" w:lineRule="auto"/>
              <w:jc w:val="left"/>
            </w:pPr>
            <w:r>
              <w:rPr>
                <w:sz w:val="17"/>
              </w:rPr>
              <w:t>客服回应：导盲犬需要配合证件核验，需要佩戴工作鞍、导盲鞍，酒店员工需要查看导盲犬免疫证明和残疾人证</w:t>
            </w:r>
          </w:p>
        </w:tc>
      </w:tr>
      <w:tr w14:paraId="1C0FFD8D">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592" w:type="dxa"/>
            <w:shd w:val="clear" w:color="auto" w:fill="FAFAF8"/>
            <w:tcMar>
              <w:top w:w="90" w:type="dxa"/>
              <w:left w:w="100" w:type="dxa"/>
              <w:bottom w:w="90" w:type="dxa"/>
              <w:right w:w="100" w:type="dxa"/>
            </w:tcMar>
            <w:vAlign w:val="center"/>
          </w:tcPr>
          <w:p w14:paraId="43E0E538">
            <w:pPr>
              <w:spacing w:before="0" w:after="0" w:line="264" w:lineRule="auto"/>
              <w:jc w:val="center"/>
            </w:pPr>
            <w:r>
              <w:rPr>
                <w:sz w:val="17"/>
              </w:rPr>
              <w:t>格林集团</w:t>
            </w:r>
            <w:r>
              <w:rPr>
                <w:sz w:val="17"/>
              </w:rPr>
              <w:br w:type="textWrapping"/>
            </w:r>
            <w:r>
              <w:rPr>
                <w:sz w:val="17"/>
              </w:rPr>
              <w:t>4006998998</w:t>
            </w:r>
          </w:p>
        </w:tc>
        <w:tc>
          <w:tcPr>
            <w:tcW w:w="1338" w:type="dxa"/>
            <w:shd w:val="clear" w:color="auto" w:fill="FAFAF8"/>
            <w:tcMar>
              <w:top w:w="90" w:type="dxa"/>
              <w:left w:w="100" w:type="dxa"/>
              <w:bottom w:w="90" w:type="dxa"/>
              <w:right w:w="100" w:type="dxa"/>
            </w:tcMar>
            <w:vAlign w:val="center"/>
          </w:tcPr>
          <w:p w14:paraId="25C65B97">
            <w:pPr>
              <w:spacing w:before="0" w:after="0" w:line="264" w:lineRule="auto"/>
              <w:jc w:val="center"/>
            </w:pPr>
            <w:r>
              <w:rPr>
                <w:sz w:val="17"/>
              </w:rPr>
              <w:t>格林豪泰</w:t>
            </w:r>
          </w:p>
        </w:tc>
        <w:tc>
          <w:tcPr>
            <w:tcW w:w="2675" w:type="dxa"/>
            <w:shd w:val="clear" w:color="auto" w:fill="FAFAF8"/>
            <w:tcMar>
              <w:top w:w="90" w:type="dxa"/>
              <w:left w:w="100" w:type="dxa"/>
              <w:bottom w:w="90" w:type="dxa"/>
              <w:right w:w="100" w:type="dxa"/>
            </w:tcMar>
            <w:vAlign w:val="center"/>
          </w:tcPr>
          <w:p w14:paraId="45B48187">
            <w:pPr>
              <w:spacing w:before="0" w:after="0" w:line="264" w:lineRule="auto"/>
              <w:jc w:val="left"/>
            </w:pPr>
            <w:r>
              <w:rPr>
                <w:sz w:val="17"/>
              </w:rPr>
              <w:t>客服回应：协助特殊人群入住（无明确条例）</w:t>
            </w:r>
          </w:p>
        </w:tc>
        <w:tc>
          <w:tcPr>
            <w:tcW w:w="2675" w:type="dxa"/>
            <w:shd w:val="clear" w:color="auto" w:fill="FAFAF8"/>
            <w:tcMar>
              <w:top w:w="90" w:type="dxa"/>
              <w:left w:w="100" w:type="dxa"/>
              <w:bottom w:w="90" w:type="dxa"/>
              <w:right w:w="100" w:type="dxa"/>
            </w:tcMar>
            <w:vAlign w:val="center"/>
          </w:tcPr>
          <w:p w14:paraId="38D9F16F">
            <w:pPr>
              <w:spacing w:before="0" w:after="0" w:line="264" w:lineRule="auto"/>
              <w:jc w:val="left"/>
            </w:pPr>
            <w:r>
              <w:rPr>
                <w:sz w:val="17"/>
              </w:rPr>
              <w:t>客服回应：协助特殊人群入住（无明确条例）</w:t>
            </w:r>
          </w:p>
        </w:tc>
      </w:tr>
      <w:tr w14:paraId="2D90C664">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592" w:type="dxa"/>
            <w:shd w:val="clear" w:color="auto" w:fill="FFFFFF"/>
            <w:tcMar>
              <w:top w:w="90" w:type="dxa"/>
              <w:left w:w="100" w:type="dxa"/>
              <w:bottom w:w="90" w:type="dxa"/>
              <w:right w:w="100" w:type="dxa"/>
            </w:tcMar>
            <w:vAlign w:val="center"/>
          </w:tcPr>
          <w:p w14:paraId="2C7ED5FA">
            <w:pPr>
              <w:spacing w:before="0" w:after="0" w:line="264" w:lineRule="auto"/>
              <w:jc w:val="center"/>
            </w:pPr>
            <w:r>
              <w:rPr>
                <w:sz w:val="17"/>
              </w:rPr>
              <w:t>东呈集团</w:t>
            </w:r>
            <w:r>
              <w:rPr>
                <w:sz w:val="17"/>
              </w:rPr>
              <w:br w:type="textWrapping"/>
            </w:r>
            <w:r>
              <w:rPr>
                <w:sz w:val="17"/>
              </w:rPr>
              <w:t>4007007899</w:t>
            </w:r>
          </w:p>
        </w:tc>
        <w:tc>
          <w:tcPr>
            <w:tcW w:w="1338" w:type="dxa"/>
            <w:shd w:val="clear" w:color="auto" w:fill="FFFFFF"/>
            <w:tcMar>
              <w:top w:w="90" w:type="dxa"/>
              <w:left w:w="100" w:type="dxa"/>
              <w:bottom w:w="90" w:type="dxa"/>
              <w:right w:w="100" w:type="dxa"/>
            </w:tcMar>
            <w:vAlign w:val="center"/>
          </w:tcPr>
          <w:p w14:paraId="18E3A3CD">
            <w:pPr>
              <w:spacing w:before="0" w:after="0" w:line="264" w:lineRule="auto"/>
              <w:jc w:val="center"/>
            </w:pPr>
            <w:r>
              <w:rPr>
                <w:sz w:val="17"/>
              </w:rPr>
              <w:t>城市便捷</w:t>
            </w:r>
          </w:p>
        </w:tc>
        <w:tc>
          <w:tcPr>
            <w:tcW w:w="2675" w:type="dxa"/>
            <w:shd w:val="clear" w:color="auto" w:fill="FFFFFF"/>
            <w:tcMar>
              <w:top w:w="90" w:type="dxa"/>
              <w:left w:w="100" w:type="dxa"/>
              <w:bottom w:w="90" w:type="dxa"/>
              <w:right w:w="100" w:type="dxa"/>
            </w:tcMar>
            <w:vAlign w:val="center"/>
          </w:tcPr>
          <w:p w14:paraId="700FA9FD">
            <w:pPr>
              <w:spacing w:before="0" w:after="0" w:line="264" w:lineRule="auto"/>
              <w:jc w:val="left"/>
            </w:pPr>
            <w:r>
              <w:rPr>
                <w:sz w:val="17"/>
              </w:rPr>
              <w:t>客服回应：没有相关硬性规定，提前联系门店询问，以具体门店为准</w:t>
            </w:r>
          </w:p>
        </w:tc>
        <w:tc>
          <w:tcPr>
            <w:tcW w:w="2675" w:type="dxa"/>
            <w:shd w:val="clear" w:color="auto" w:fill="FFFFFF"/>
            <w:tcMar>
              <w:top w:w="90" w:type="dxa"/>
              <w:left w:w="100" w:type="dxa"/>
              <w:bottom w:w="90" w:type="dxa"/>
              <w:right w:w="100" w:type="dxa"/>
            </w:tcMar>
            <w:vAlign w:val="center"/>
          </w:tcPr>
          <w:p w14:paraId="23F949CB">
            <w:pPr>
              <w:spacing w:before="0" w:after="0" w:line="264" w:lineRule="auto"/>
              <w:jc w:val="left"/>
            </w:pPr>
            <w:r>
              <w:rPr>
                <w:sz w:val="17"/>
              </w:rPr>
              <w:t>客服回应：没有相关硬性规定，提前联系门店询问，以具体门店为准</w:t>
            </w:r>
          </w:p>
        </w:tc>
      </w:tr>
      <w:tr w14:paraId="52C3071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592" w:type="dxa"/>
            <w:shd w:val="clear" w:color="auto" w:fill="FAFAF8"/>
            <w:tcMar>
              <w:top w:w="90" w:type="dxa"/>
              <w:left w:w="100" w:type="dxa"/>
              <w:bottom w:w="90" w:type="dxa"/>
              <w:right w:w="100" w:type="dxa"/>
            </w:tcMar>
            <w:vAlign w:val="center"/>
          </w:tcPr>
          <w:p w14:paraId="2617B568">
            <w:pPr>
              <w:spacing w:before="0" w:after="0" w:line="264" w:lineRule="auto"/>
              <w:jc w:val="center"/>
            </w:pPr>
            <w:r>
              <w:rPr>
                <w:sz w:val="17"/>
              </w:rPr>
              <w:t>尚美数智集团</w:t>
            </w:r>
            <w:r>
              <w:rPr>
                <w:sz w:val="17"/>
              </w:rPr>
              <w:br w:type="textWrapping"/>
            </w:r>
            <w:r>
              <w:rPr>
                <w:sz w:val="17"/>
              </w:rPr>
              <w:t>4006456999</w:t>
            </w:r>
          </w:p>
        </w:tc>
        <w:tc>
          <w:tcPr>
            <w:tcW w:w="1338" w:type="dxa"/>
            <w:shd w:val="clear" w:color="auto" w:fill="FAFAF8"/>
            <w:tcMar>
              <w:top w:w="90" w:type="dxa"/>
              <w:left w:w="100" w:type="dxa"/>
              <w:bottom w:w="90" w:type="dxa"/>
              <w:right w:w="100" w:type="dxa"/>
            </w:tcMar>
            <w:vAlign w:val="center"/>
          </w:tcPr>
          <w:p w14:paraId="769730C4">
            <w:pPr>
              <w:spacing w:before="0" w:after="0" w:line="264" w:lineRule="auto"/>
              <w:jc w:val="center"/>
            </w:pPr>
            <w:r>
              <w:rPr>
                <w:sz w:val="17"/>
              </w:rPr>
              <w:t>尚客优</w:t>
            </w:r>
          </w:p>
        </w:tc>
        <w:tc>
          <w:tcPr>
            <w:tcW w:w="2675" w:type="dxa"/>
            <w:shd w:val="clear" w:color="auto" w:fill="FAFAF8"/>
            <w:tcMar>
              <w:top w:w="90" w:type="dxa"/>
              <w:left w:w="100" w:type="dxa"/>
              <w:bottom w:w="90" w:type="dxa"/>
              <w:right w:w="100" w:type="dxa"/>
            </w:tcMar>
            <w:vAlign w:val="center"/>
          </w:tcPr>
          <w:p w14:paraId="2136D52D">
            <w:pPr>
              <w:spacing w:before="0" w:after="0" w:line="264" w:lineRule="auto"/>
              <w:jc w:val="left"/>
            </w:pPr>
            <w:r>
              <w:rPr>
                <w:sz w:val="17"/>
              </w:rPr>
              <w:t>客服回应：没有相关硬性规定，以具体门店为准</w:t>
            </w:r>
          </w:p>
        </w:tc>
        <w:tc>
          <w:tcPr>
            <w:tcW w:w="2675" w:type="dxa"/>
            <w:shd w:val="clear" w:color="auto" w:fill="FAFAF8"/>
            <w:tcMar>
              <w:top w:w="90" w:type="dxa"/>
              <w:left w:w="100" w:type="dxa"/>
              <w:bottom w:w="90" w:type="dxa"/>
              <w:right w:w="100" w:type="dxa"/>
            </w:tcMar>
            <w:vAlign w:val="center"/>
          </w:tcPr>
          <w:p w14:paraId="4F9CF07F">
            <w:pPr>
              <w:spacing w:before="0" w:after="0" w:line="264" w:lineRule="auto"/>
              <w:jc w:val="left"/>
            </w:pPr>
            <w:r>
              <w:rPr>
                <w:sz w:val="17"/>
              </w:rPr>
              <w:t>客服回应：没有相关硬性规定，以具体门店为准</w:t>
            </w:r>
          </w:p>
        </w:tc>
      </w:tr>
    </w:tbl>
    <w:p w14:paraId="686AB38A">
      <w:pPr>
        <w:rPr>
          <w:rFonts w:hint="default" w:eastAsia="宋体"/>
          <w:lang w:val="en-US" w:eastAsia="zh-CN"/>
        </w:rPr>
      </w:pPr>
      <w:r>
        <w:rPr>
          <w:rFonts w:hint="eastAsia"/>
          <w:lang w:val="en-US" w:eastAsia="zh-CN"/>
        </w:rPr>
        <w:t>由列表可知：</w:t>
      </w:r>
    </w:p>
    <w:p w14:paraId="1EF4A83F">
      <w:r>
        <w:t>华住集团在预订页面提供了允许携带服务型动物、需要提前联系门店的书面说明，并明确不收取清洁费。锦江集团总部文件要求旗下门店不得拒绝导盲犬入住，也列出了需要查验的证明。</w:t>
      </w:r>
    </w:p>
    <w:p w14:paraId="2AE74205">
      <w:r>
        <w:t>首旅集团客服表示如家门店不应拒绝，并可在门店拒绝时协调，但无法提供统一书面材料。格林、东呈和尚美数智集团缺少明确的统一规则，更多表示协助或由具体门店决定。</w:t>
      </w:r>
    </w:p>
    <w:p w14:paraId="04DC7816">
      <w:r>
        <w:rPr>
          <w:rFonts w:hint="eastAsia"/>
          <w:lang w:val="en-US" w:eastAsia="zh-CN"/>
        </w:rPr>
        <w:t>那些具备</w:t>
      </w:r>
      <w:r>
        <w:t>明文规定</w:t>
      </w:r>
      <w:r>
        <w:rPr>
          <w:rFonts w:hint="eastAsia"/>
          <w:lang w:val="en-US" w:eastAsia="zh-CN"/>
        </w:rPr>
        <w:t>的酒店集团会传递出一种友善的态度给到导盲犬用户，这种明文规定也会</w:t>
      </w:r>
      <w:r>
        <w:t>为前台处理需求</w:t>
      </w:r>
      <w:r>
        <w:rPr>
          <w:rFonts w:hint="eastAsia"/>
          <w:lang w:eastAsia="zh-CN"/>
        </w:rPr>
        <w:t>，</w:t>
      </w:r>
      <w:r>
        <w:t>以及不同门店统一执行提供依据。</w:t>
      </w:r>
    </w:p>
    <w:p w14:paraId="18F7954C">
      <w:pPr>
        <w:pStyle w:val="5"/>
        <w:numPr>
          <w:ilvl w:val="2"/>
          <w:numId w:val="1"/>
        </w:numPr>
      </w:pPr>
      <w:r>
        <w:t>（二）公开信息与渠道传递</w:t>
      </w:r>
    </w:p>
    <w:p w14:paraId="6D274C03">
      <w:r>
        <w:t>总部规定需要经过</w:t>
      </w:r>
      <w:r>
        <w:rPr>
          <w:b/>
          <w:bCs/>
        </w:rPr>
        <w:t>公开、平台标注、客服解释和门店执行</w:t>
      </w:r>
      <w:r>
        <w:t>，才能转化为消费者可以获得的服务。信息传递从三个方面观察：</w:t>
      </w:r>
    </w:p>
    <w:p w14:paraId="179C1344">
      <w:pPr>
        <w:rPr>
          <w:lang w:eastAsia="zh-CN"/>
        </w:rPr>
      </w:pPr>
      <w:r>
        <w:t>预订平台有没有明确标注</w:t>
      </w:r>
      <w:r>
        <w:rPr>
          <w:rFonts w:hint="eastAsia"/>
          <w:lang w:eastAsia="zh-CN"/>
        </w:rPr>
        <w:t>；</w:t>
      </w:r>
    </w:p>
    <w:p w14:paraId="599BDB10">
      <w:pPr>
        <w:rPr>
          <w:lang w:eastAsia="zh-CN"/>
        </w:rPr>
      </w:pPr>
      <w:r>
        <w:t>总部规则是否具有统一约束力</w:t>
      </w:r>
      <w:r>
        <w:rPr>
          <w:rFonts w:hint="eastAsia"/>
          <w:lang w:eastAsia="zh-CN"/>
        </w:rPr>
        <w:t>；</w:t>
      </w:r>
    </w:p>
    <w:p w14:paraId="4B2FD9F7">
      <w:pPr>
        <w:rPr>
          <w:lang w:eastAsia="zh-CN"/>
        </w:rPr>
      </w:pPr>
      <w:r>
        <w:t>客服能否说清需要查验的材料</w:t>
      </w:r>
      <w:r>
        <w:rPr>
          <w:rFonts w:hint="eastAsia"/>
          <w:lang w:eastAsia="zh-CN"/>
        </w:rPr>
        <w:t>。</w:t>
      </w:r>
    </w:p>
    <w:p w14:paraId="05C9BAD1">
      <w:r>
        <w:t>图9把平台标注、总部接待规则和查验要求分开呈现。总分越高，消费者和门店越容易从不同渠道获得一致信息；分数越低，信息缺失、渠道矛盾或门店临时决定的情况越多。完整计算规则列于附录的“品牌政策信息清晰度评分”。</w:t>
      </w:r>
    </w:p>
    <w:p w14:paraId="27108E7D">
      <w:r>
        <w:t>以汉庭为例，平台标注原始均值为0.24，按</w:t>
      </w:r>
      <w:r>
        <w:rPr>
          <w:highlight w:val="yellow"/>
        </w:rPr>
        <w:t>阈值</w:t>
      </w:r>
      <w:r>
        <w:t>换算为2分；总部接待规则2分，查验要求1分，合计5分。总分反映集团政策及公开信息的清晰程度。</w:t>
      </w:r>
    </w:p>
    <w:p w14:paraId="41370B7B">
      <w:pPr>
        <w:keepNext/>
        <w:spacing w:after="40"/>
        <w:jc w:val="center"/>
      </w:pPr>
      <w:r>
        <w:drawing>
          <wp:inline distT="0" distB="0" distL="0" distR="0">
            <wp:extent cx="5486400" cy="4572000"/>
            <wp:effectExtent l="0" t="0" r="0" b="0"/>
            <wp:docPr id="25" name="Picture 25" descr="表格式图表，列出10个品牌的平台标注原始均值、平台标注映射分、总部接待规则明确度、查验要求清晰度和政策信息清晰度总分。汉庭和全季均为5分，城市便捷为负3分。" title="表格式图表，列出10个品牌的平台标注原始均值、平台标注映射分、总部接待规则明确度、查验要求清晰度和政策信息清晰度总分。汉庭和全季均为5分，城市便捷为负3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表格式图表，列出10个品牌的平台标注原始均值、平台标注映射分、总部接待规则明确度、查验要求清晰度和政策信息清晰度总分。汉庭和全季均为5分，城市便捷为负3分。" title="表格式图表，列出10个品牌的平台标注原始均值、平台标注映射分、总部接待规则明确度、查验要求清晰度和政策信息清晰度总分。汉庭和全季均为5分，城市便捷为负3分。"/>
                    <pic:cNvPicPr>
                      <a:picLocks noChangeAspect="1"/>
                    </pic:cNvPicPr>
                  </pic:nvPicPr>
                  <pic:blipFill>
                    <a:blip r:embed="rId17"/>
                    <a:stretch>
                      <a:fillRect/>
                    </a:stretch>
                  </pic:blipFill>
                  <pic:spPr>
                    <a:xfrm>
                      <a:off x="0" y="0"/>
                      <a:ext cx="5486400" cy="4572000"/>
                    </a:xfrm>
                    <a:prstGeom prst="rect">
                      <a:avLst/>
                    </a:prstGeom>
                  </pic:spPr>
                </pic:pic>
              </a:graphicData>
            </a:graphic>
          </wp:inline>
        </w:drawing>
      </w:r>
    </w:p>
    <w:p w14:paraId="77C03EC1">
      <w:pPr>
        <w:pStyle w:val="173"/>
      </w:pPr>
      <w:r>
        <w:t>图9　品牌政策信息清晰度构成与得分（n=10个品牌）</w:t>
      </w:r>
    </w:p>
    <w:p w14:paraId="2534607C">
      <w:r>
        <w:t>汉庭和全季均得到5分，说明其集团规则和查验要求相对明确，预订平台也有一定程度的落实。但两者的平</w:t>
      </w:r>
      <w:r>
        <w:rPr>
          <w:highlight w:val="yellow"/>
        </w:rPr>
        <w:t>台标注原始均值距离满分仍较远</w:t>
      </w:r>
      <w:r>
        <w:t>，部分门店仍存在信息缺失或拒绝性标注。</w:t>
      </w:r>
    </w:p>
    <w:p w14:paraId="65663DF3">
      <w:r>
        <w:t>锦江集团旗下维也纳、7天、锦江之星和麗枫适用相同的总部规定，得分差异主要来自预订平台。集团制定规则后，仍需把规则完整传到各品牌和门店页面。</w:t>
      </w:r>
    </w:p>
    <w:p w14:paraId="1E63895E">
      <w:r>
        <w:t>如家客服表达了协助意愿，也能说明查验要求，但总部层面的强制性书面规则不足，更多依赖个案协调；其平台标注原始均值为−0.15，在10个品牌中最低。</w:t>
      </w:r>
    </w:p>
    <w:p w14:paraId="6B9998D0">
      <w:r>
        <w:t>尚客优选、格林豪泰和城市便捷整体得分为负，主要问题是总部规则不够明确、查验标准缺失。门店自主判断空间越大，答复越容易因门店或员工而异。</w:t>
      </w:r>
    </w:p>
    <w:p w14:paraId="7E885034">
      <w:pPr>
        <w:pStyle w:val="5"/>
        <w:numPr>
          <w:ilvl w:val="2"/>
          <w:numId w:val="1"/>
        </w:numPr>
      </w:pPr>
      <w:r>
        <w:t>（三）客服与门店执行</w:t>
      </w:r>
    </w:p>
    <w:p w14:paraId="4E79E9C7">
      <w:r>
        <w:t>总部客服是消费者预订前确认政策、遭遇门店拒绝后寻求帮助的重要渠道。客服能否识别导盲犬问题、说明所需材料并协调门店，直接影响规定能否转化为服务。</w:t>
      </w:r>
    </w:p>
    <w:p w14:paraId="360A601E">
      <w:r>
        <w:t>图10比较客服在政策熟悉度和主动回应方面的表现，评分对象是客服理解和传达规则的能力。完整规则列于附录的“集团客服政策熟悉度评分”。</w:t>
      </w:r>
    </w:p>
    <w:p w14:paraId="47163D28">
      <w:pPr>
        <w:keepNext/>
        <w:spacing w:after="40"/>
        <w:jc w:val="center"/>
      </w:pPr>
      <w:r>
        <w:drawing>
          <wp:inline distT="0" distB="0" distL="0" distR="0">
            <wp:extent cx="5486400" cy="3169920"/>
            <wp:effectExtent l="0" t="0" r="0" b="0"/>
            <wp:docPr id="26" name="Picture 26" descr="表格式图表，列出6个集团及代表品牌的政策熟悉度、主动回应和综合得分。华住和首旅均为3分，尚美数智为负1分，锦江、格林和东呈均为负2分。" title="表格式图表，列出6个集团及代表品牌的政策熟悉度、主动回应和综合得分。华住和首旅均为3分，尚美数智为负1分，锦江、格林和东呈均为负2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表格式图表，列出6个集团及代表品牌的政策熟悉度、主动回应和综合得分。华住和首旅均为3分，尚美数智为负1分，锦江、格林和东呈均为负2分。" title="表格式图表，列出6个集团及代表品牌的政策熟悉度、主动回应和综合得分。华住和首旅均为3分，尚美数智为负1分，锦江、格林和东呈均为负2分。"/>
                    <pic:cNvPicPr>
                      <a:picLocks noChangeAspect="1"/>
                    </pic:cNvPicPr>
                  </pic:nvPicPr>
                  <pic:blipFill>
                    <a:blip r:embed="rId18"/>
                    <a:stretch>
                      <a:fillRect/>
                    </a:stretch>
                  </pic:blipFill>
                  <pic:spPr>
                    <a:xfrm>
                      <a:off x="0" y="0"/>
                      <a:ext cx="5486400" cy="3169920"/>
                    </a:xfrm>
                    <a:prstGeom prst="rect">
                      <a:avLst/>
                    </a:prstGeom>
                  </pic:spPr>
                </pic:pic>
              </a:graphicData>
            </a:graphic>
          </wp:inline>
        </w:drawing>
      </w:r>
    </w:p>
    <w:p w14:paraId="3B3514B4">
      <w:pPr>
        <w:pStyle w:val="173"/>
      </w:pPr>
      <w:r>
        <w:t>图10　集团客服的政策熟悉度与主动回应得分（n=6个集团）</w:t>
      </w:r>
    </w:p>
    <w:p w14:paraId="7E6809D0">
      <w:r>
        <w:t>华住集团和首旅集团均得到3分，说明其客服能够较快识别问题，并主动或较完整地说明相关要求。尚美数智集团为−1分；锦江、格林和东呈集团均为−2分。</w:t>
      </w:r>
    </w:p>
    <w:p w14:paraId="334D4117">
      <w:pPr>
        <w:rPr>
          <w:lang w:eastAsia="zh-CN"/>
        </w:rPr>
      </w:pPr>
      <w:r>
        <w:t>得分较低的集团不同程度出现查不到规则、无法说明统一标准、推回门店决定或将导盲犬与普通宠物混淆的情况。部分客服认可门店给出的拒绝理由，没有继续协调。当总部也无法提供依据时，消费者既要说服门店，又要向客服解释导盲犬的法律和服务属性，</w:t>
      </w:r>
      <w:r>
        <w:rPr>
          <w:rFonts w:hint="eastAsia"/>
          <w:lang w:val="en-US" w:eastAsia="zh-CN"/>
        </w:rPr>
        <w:t>这一种极大的阐释性成本。</w:t>
      </w:r>
    </w:p>
    <w:p w14:paraId="4F7E4ED8">
      <w:pPr>
        <w:pStyle w:val="4"/>
      </w:pPr>
      <w:bookmarkStart w:id="22" w:name="_Toc240635838"/>
      <w:bookmarkStart w:id="23" w:name="_Toc239432611"/>
      <w:r>
        <w:rPr>
          <w:rFonts w:ascii="宋体" w:hAnsi="宋体" w:eastAsia="宋体"/>
          <w:b w:val="0"/>
        </w:rPr>
        <w:t>二 一线认知与风险判断</w:t>
      </w:r>
      <w:bookmarkEnd w:id="22"/>
      <w:bookmarkEnd w:id="23"/>
    </w:p>
    <w:p w14:paraId="3BA39367">
      <w:pPr>
        <w:rPr>
          <w:rFonts w:hint="default" w:eastAsia="宋体"/>
          <w:lang w:val="en-US" w:eastAsia="zh-CN"/>
        </w:rPr>
      </w:pPr>
      <w:r>
        <w:rPr>
          <w:rFonts w:hint="eastAsia"/>
          <w:lang w:val="en-US" w:eastAsia="zh-CN"/>
        </w:rPr>
        <w:t>当一线员工不知道清晰的</w:t>
      </w:r>
      <w:r>
        <w:t>规则</w:t>
      </w:r>
      <w:r>
        <w:rPr>
          <w:rFonts w:hint="eastAsia"/>
          <w:lang w:eastAsia="zh-CN"/>
        </w:rPr>
        <w:t>，</w:t>
      </w:r>
      <w:r>
        <w:rPr>
          <w:rFonts w:hint="eastAsia"/>
          <w:lang w:val="en-US" w:eastAsia="zh-CN"/>
        </w:rPr>
        <w:t>没有得到相关的</w:t>
      </w:r>
      <w:r>
        <w:t>培训和授权不足时，</w:t>
      </w:r>
      <w:r>
        <w:rPr>
          <w:rFonts w:hint="eastAsia"/>
          <w:lang w:val="en-US" w:eastAsia="zh-CN"/>
        </w:rPr>
        <w:t>其</w:t>
      </w:r>
      <w:r>
        <w:t>更容易依据对犬只和视障者的日常</w:t>
      </w:r>
      <w:r>
        <w:rPr>
          <w:rFonts w:hint="eastAsia"/>
          <w:lang w:val="en-US" w:eastAsia="zh-CN"/>
        </w:rPr>
        <w:t>刻板</w:t>
      </w:r>
      <w:r>
        <w:t>印象作出判断。</w:t>
      </w:r>
      <w:r>
        <w:rPr>
          <w:rFonts w:hint="eastAsia"/>
          <w:lang w:val="en-US" w:eastAsia="zh-CN"/>
        </w:rPr>
        <w:t>考虑到</w:t>
      </w:r>
      <w:r>
        <w:t>卫生、噪音、安全、财产损耗、其他住客反应，以及视障者能否独立入住</w:t>
      </w:r>
      <w:r>
        <w:rPr>
          <w:rFonts w:hint="eastAsia"/>
          <w:lang w:eastAsia="zh-CN"/>
        </w:rPr>
        <w:t>，</w:t>
      </w:r>
      <w:r>
        <w:rPr>
          <w:rFonts w:hint="eastAsia"/>
          <w:lang w:val="en-US" w:eastAsia="zh-CN"/>
        </w:rPr>
        <w:t>他们大概率会做出拒绝或者提出附加条件。</w:t>
      </w:r>
    </w:p>
    <w:p w14:paraId="0D5AB595">
      <w:r>
        <w:t>按拒绝理由占比计算，</w:t>
      </w:r>
      <w:r>
        <w:rPr>
          <w:rFonts w:hint="eastAsia"/>
          <w:lang w:eastAsia="zh-CN"/>
        </w:rPr>
        <w:t>在样本统计中，</w:t>
      </w:r>
      <w:r>
        <w:t>围绕导盲犬的担忧合计占84.5%，围绕视障者本人的担忧占15.5%。门店可能把导盲犬识别为协助视障者独立出行的工作犬，也可能把它当作普通宠物，并据此判断接待风险。</w:t>
      </w:r>
    </w:p>
    <w:p w14:paraId="6BF4BC77">
      <w:pPr>
        <w:pStyle w:val="173"/>
        <w:pageBreakBefore/>
      </w:pPr>
      <w:r>
        <w:rPr>
          <w:rFonts w:ascii="宋体" w:hAnsi="宋体"/>
          <w:b w:val="0"/>
        </w:rPr>
        <w:t>表2　酒店对导盲犬及其使用者的担忧与拒绝理由</w:t>
      </w:r>
    </w:p>
    <w:tbl>
      <w:tblPr>
        <w:tblStyle w:val="37"/>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1274"/>
        <w:gridCol w:w="1592"/>
        <w:gridCol w:w="955"/>
        <w:gridCol w:w="1401"/>
        <w:gridCol w:w="3058"/>
      </w:tblGrid>
      <w:tr w14:paraId="731DF65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274" w:type="dxa"/>
            <w:shd w:val="clear" w:color="auto" w:fill="2C2C2C"/>
            <w:tcMar>
              <w:top w:w="90" w:type="dxa"/>
              <w:left w:w="100" w:type="dxa"/>
              <w:bottom w:w="90" w:type="dxa"/>
              <w:right w:w="100" w:type="dxa"/>
            </w:tcMar>
            <w:vAlign w:val="center"/>
          </w:tcPr>
          <w:p w14:paraId="26EF08EF">
            <w:pPr>
              <w:keepNext/>
              <w:spacing w:before="0" w:after="0" w:line="264" w:lineRule="auto"/>
              <w:jc w:val="center"/>
            </w:pPr>
            <w:r>
              <w:rPr>
                <w:rFonts w:eastAsia="黑体"/>
                <w:b/>
                <w:color w:val="FFFFFF"/>
                <w:sz w:val="17"/>
              </w:rPr>
              <w:t>担忧方向</w:t>
            </w:r>
          </w:p>
        </w:tc>
        <w:tc>
          <w:tcPr>
            <w:tcW w:w="1592" w:type="dxa"/>
            <w:shd w:val="clear" w:color="auto" w:fill="2C2C2C"/>
            <w:tcMar>
              <w:top w:w="90" w:type="dxa"/>
              <w:left w:w="100" w:type="dxa"/>
              <w:bottom w:w="90" w:type="dxa"/>
              <w:right w:w="100" w:type="dxa"/>
            </w:tcMar>
            <w:vAlign w:val="center"/>
          </w:tcPr>
          <w:p w14:paraId="3B367B49">
            <w:pPr>
              <w:keepNext/>
              <w:spacing w:before="0" w:after="0" w:line="264" w:lineRule="auto"/>
              <w:jc w:val="center"/>
            </w:pPr>
            <w:r>
              <w:rPr>
                <w:rFonts w:eastAsia="黑体"/>
                <w:b/>
                <w:color w:val="FFFFFF"/>
                <w:sz w:val="17"/>
              </w:rPr>
              <w:t>拒绝理由</w:t>
            </w:r>
          </w:p>
        </w:tc>
        <w:tc>
          <w:tcPr>
            <w:tcW w:w="955" w:type="dxa"/>
            <w:shd w:val="clear" w:color="auto" w:fill="2C2C2C"/>
            <w:tcMar>
              <w:top w:w="90" w:type="dxa"/>
              <w:left w:w="100" w:type="dxa"/>
              <w:bottom w:w="90" w:type="dxa"/>
              <w:right w:w="100" w:type="dxa"/>
            </w:tcMar>
            <w:vAlign w:val="center"/>
          </w:tcPr>
          <w:p w14:paraId="34247DC8">
            <w:pPr>
              <w:keepNext/>
              <w:spacing w:before="0" w:after="0" w:line="264" w:lineRule="auto"/>
              <w:jc w:val="center"/>
            </w:pPr>
            <w:r>
              <w:rPr>
                <w:rFonts w:eastAsia="黑体"/>
                <w:b/>
                <w:color w:val="FFFFFF"/>
                <w:sz w:val="17"/>
              </w:rPr>
              <w:t>频次</w:t>
            </w:r>
          </w:p>
        </w:tc>
        <w:tc>
          <w:tcPr>
            <w:tcW w:w="1401" w:type="dxa"/>
            <w:shd w:val="clear" w:color="auto" w:fill="2C2C2C"/>
            <w:tcMar>
              <w:top w:w="90" w:type="dxa"/>
              <w:left w:w="100" w:type="dxa"/>
              <w:bottom w:w="90" w:type="dxa"/>
              <w:right w:w="100" w:type="dxa"/>
            </w:tcMar>
            <w:vAlign w:val="center"/>
          </w:tcPr>
          <w:p w14:paraId="76FA2876">
            <w:pPr>
              <w:keepNext/>
              <w:spacing w:before="0" w:after="0" w:line="264" w:lineRule="auto"/>
              <w:jc w:val="center"/>
            </w:pPr>
            <w:r>
              <w:rPr>
                <w:rFonts w:eastAsia="黑体"/>
                <w:b/>
                <w:color w:val="FFFFFF"/>
                <w:sz w:val="17"/>
              </w:rPr>
              <w:t>电话覆盖率</w:t>
            </w:r>
          </w:p>
        </w:tc>
        <w:tc>
          <w:tcPr>
            <w:tcW w:w="3058" w:type="dxa"/>
            <w:shd w:val="clear" w:color="auto" w:fill="2C2C2C"/>
            <w:tcMar>
              <w:top w:w="90" w:type="dxa"/>
              <w:left w:w="100" w:type="dxa"/>
              <w:bottom w:w="90" w:type="dxa"/>
              <w:right w:w="100" w:type="dxa"/>
            </w:tcMar>
            <w:vAlign w:val="center"/>
          </w:tcPr>
          <w:p w14:paraId="75EF29A8">
            <w:pPr>
              <w:keepNext/>
              <w:spacing w:before="0" w:after="0" w:line="264" w:lineRule="auto"/>
              <w:jc w:val="center"/>
            </w:pPr>
            <w:r>
              <w:rPr>
                <w:rFonts w:eastAsia="黑体"/>
                <w:b/>
                <w:color w:val="FFFFFF"/>
                <w:sz w:val="17"/>
              </w:rPr>
              <w:t>拒绝理由占比</w:t>
            </w:r>
          </w:p>
        </w:tc>
      </w:tr>
      <w:tr w14:paraId="732C44B3">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274" w:type="dxa"/>
            <w:shd w:val="clear" w:color="auto" w:fill="FFFFFF"/>
            <w:tcMar>
              <w:top w:w="90" w:type="dxa"/>
              <w:left w:w="100" w:type="dxa"/>
              <w:bottom w:w="90" w:type="dxa"/>
              <w:right w:w="100" w:type="dxa"/>
            </w:tcMar>
            <w:vAlign w:val="center"/>
          </w:tcPr>
          <w:p w14:paraId="5F8109A7">
            <w:pPr>
              <w:spacing w:before="0" w:after="0" w:line="264" w:lineRule="auto"/>
              <w:jc w:val="center"/>
            </w:pPr>
            <w:r>
              <w:rPr>
                <w:sz w:val="17"/>
              </w:rPr>
              <w:t>导盲犬</w:t>
            </w:r>
          </w:p>
        </w:tc>
        <w:tc>
          <w:tcPr>
            <w:tcW w:w="1592" w:type="dxa"/>
            <w:shd w:val="clear" w:color="auto" w:fill="FFFFFF"/>
            <w:tcMar>
              <w:top w:w="90" w:type="dxa"/>
              <w:left w:w="100" w:type="dxa"/>
              <w:bottom w:w="90" w:type="dxa"/>
              <w:right w:w="100" w:type="dxa"/>
            </w:tcMar>
            <w:vAlign w:val="center"/>
          </w:tcPr>
          <w:p w14:paraId="745C2A99">
            <w:pPr>
              <w:spacing w:before="0" w:after="0" w:line="264" w:lineRule="auto"/>
              <w:jc w:val="center"/>
            </w:pPr>
            <w:r>
              <w:rPr>
                <w:sz w:val="17"/>
              </w:rPr>
              <w:t>宠物化理解</w:t>
            </w:r>
          </w:p>
        </w:tc>
        <w:tc>
          <w:tcPr>
            <w:tcW w:w="955" w:type="dxa"/>
            <w:shd w:val="clear" w:color="auto" w:fill="FFFFFF"/>
            <w:tcMar>
              <w:top w:w="90" w:type="dxa"/>
              <w:left w:w="100" w:type="dxa"/>
              <w:bottom w:w="90" w:type="dxa"/>
              <w:right w:w="100" w:type="dxa"/>
            </w:tcMar>
            <w:vAlign w:val="center"/>
          </w:tcPr>
          <w:p w14:paraId="0EDB351C">
            <w:pPr>
              <w:spacing w:before="0" w:after="0" w:line="264" w:lineRule="auto"/>
              <w:jc w:val="center"/>
            </w:pPr>
            <w:r>
              <w:rPr>
                <w:sz w:val="17"/>
              </w:rPr>
              <w:t>364</w:t>
            </w:r>
          </w:p>
        </w:tc>
        <w:tc>
          <w:tcPr>
            <w:tcW w:w="1401" w:type="dxa"/>
            <w:shd w:val="clear" w:color="auto" w:fill="FFFFFF"/>
            <w:tcMar>
              <w:top w:w="90" w:type="dxa"/>
              <w:left w:w="100" w:type="dxa"/>
              <w:bottom w:w="90" w:type="dxa"/>
              <w:right w:w="100" w:type="dxa"/>
            </w:tcMar>
            <w:vAlign w:val="center"/>
          </w:tcPr>
          <w:p w14:paraId="0A911AAA">
            <w:pPr>
              <w:spacing w:before="0" w:after="0" w:line="264" w:lineRule="auto"/>
              <w:jc w:val="center"/>
            </w:pPr>
            <w:r>
              <w:rPr>
                <w:sz w:val="17"/>
              </w:rPr>
              <w:t>40.9%</w:t>
            </w:r>
          </w:p>
        </w:tc>
        <w:tc>
          <w:tcPr>
            <w:tcW w:w="3058" w:type="dxa"/>
            <w:shd w:val="clear" w:color="auto" w:fill="FFFFFF"/>
            <w:tcMar>
              <w:top w:w="90" w:type="dxa"/>
              <w:left w:w="100" w:type="dxa"/>
              <w:bottom w:w="90" w:type="dxa"/>
              <w:right w:w="100" w:type="dxa"/>
            </w:tcMar>
            <w:vAlign w:val="center"/>
          </w:tcPr>
          <w:p w14:paraId="7BB894AA">
            <w:pPr>
              <w:spacing w:before="0" w:after="0" w:line="264" w:lineRule="auto"/>
              <w:jc w:val="center"/>
            </w:pPr>
            <w:r>
              <w:rPr>
                <w:sz w:val="17"/>
              </w:rPr>
              <w:t>27.1%</w:t>
            </w:r>
          </w:p>
        </w:tc>
      </w:tr>
      <w:tr w14:paraId="2A9D9D72">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274" w:type="dxa"/>
            <w:shd w:val="clear" w:color="auto" w:fill="FAFAF8"/>
            <w:tcMar>
              <w:top w:w="90" w:type="dxa"/>
              <w:left w:w="100" w:type="dxa"/>
              <w:bottom w:w="90" w:type="dxa"/>
              <w:right w:w="100" w:type="dxa"/>
            </w:tcMar>
            <w:vAlign w:val="center"/>
          </w:tcPr>
          <w:p w14:paraId="04548C7B">
            <w:pPr>
              <w:spacing w:before="0" w:after="0" w:line="264" w:lineRule="auto"/>
              <w:jc w:val="center"/>
            </w:pPr>
            <w:r>
              <w:rPr>
                <w:sz w:val="17"/>
              </w:rPr>
              <w:t>导盲犬</w:t>
            </w:r>
          </w:p>
        </w:tc>
        <w:tc>
          <w:tcPr>
            <w:tcW w:w="1592" w:type="dxa"/>
            <w:shd w:val="clear" w:color="auto" w:fill="FAFAF8"/>
            <w:tcMar>
              <w:top w:w="90" w:type="dxa"/>
              <w:left w:w="100" w:type="dxa"/>
              <w:bottom w:w="90" w:type="dxa"/>
              <w:right w:w="100" w:type="dxa"/>
            </w:tcMar>
            <w:vAlign w:val="center"/>
          </w:tcPr>
          <w:p w14:paraId="3A9DEB21">
            <w:pPr>
              <w:spacing w:before="0" w:after="0" w:line="264" w:lineRule="auto"/>
              <w:jc w:val="center"/>
            </w:pPr>
            <w:r>
              <w:rPr>
                <w:sz w:val="17"/>
              </w:rPr>
              <w:t>卫生问题</w:t>
            </w:r>
          </w:p>
        </w:tc>
        <w:tc>
          <w:tcPr>
            <w:tcW w:w="955" w:type="dxa"/>
            <w:shd w:val="clear" w:color="auto" w:fill="FAFAF8"/>
            <w:tcMar>
              <w:top w:w="90" w:type="dxa"/>
              <w:left w:w="100" w:type="dxa"/>
              <w:bottom w:w="90" w:type="dxa"/>
              <w:right w:w="100" w:type="dxa"/>
            </w:tcMar>
            <w:vAlign w:val="center"/>
          </w:tcPr>
          <w:p w14:paraId="57521D6A">
            <w:pPr>
              <w:spacing w:before="0" w:after="0" w:line="264" w:lineRule="auto"/>
              <w:jc w:val="center"/>
            </w:pPr>
            <w:r>
              <w:rPr>
                <w:sz w:val="17"/>
              </w:rPr>
              <w:t>175</w:t>
            </w:r>
          </w:p>
        </w:tc>
        <w:tc>
          <w:tcPr>
            <w:tcW w:w="1401" w:type="dxa"/>
            <w:shd w:val="clear" w:color="auto" w:fill="FAFAF8"/>
            <w:tcMar>
              <w:top w:w="90" w:type="dxa"/>
              <w:left w:w="100" w:type="dxa"/>
              <w:bottom w:w="90" w:type="dxa"/>
              <w:right w:w="100" w:type="dxa"/>
            </w:tcMar>
            <w:vAlign w:val="center"/>
          </w:tcPr>
          <w:p w14:paraId="043F4FD7">
            <w:pPr>
              <w:spacing w:before="0" w:after="0" w:line="264" w:lineRule="auto"/>
              <w:jc w:val="center"/>
            </w:pPr>
            <w:r>
              <w:rPr>
                <w:sz w:val="17"/>
              </w:rPr>
              <w:t>19.6%</w:t>
            </w:r>
          </w:p>
        </w:tc>
        <w:tc>
          <w:tcPr>
            <w:tcW w:w="3058" w:type="dxa"/>
            <w:shd w:val="clear" w:color="auto" w:fill="FAFAF8"/>
            <w:tcMar>
              <w:top w:w="90" w:type="dxa"/>
              <w:left w:w="100" w:type="dxa"/>
              <w:bottom w:w="90" w:type="dxa"/>
              <w:right w:w="100" w:type="dxa"/>
            </w:tcMar>
            <w:vAlign w:val="center"/>
          </w:tcPr>
          <w:p w14:paraId="0BE6A6E7">
            <w:pPr>
              <w:spacing w:before="0" w:after="0" w:line="264" w:lineRule="auto"/>
              <w:jc w:val="center"/>
            </w:pPr>
            <w:r>
              <w:rPr>
                <w:sz w:val="17"/>
              </w:rPr>
              <w:t>13.0%</w:t>
            </w:r>
          </w:p>
        </w:tc>
      </w:tr>
      <w:tr w14:paraId="3563754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274" w:type="dxa"/>
            <w:shd w:val="clear" w:color="auto" w:fill="FFFFFF"/>
            <w:tcMar>
              <w:top w:w="90" w:type="dxa"/>
              <w:left w:w="100" w:type="dxa"/>
              <w:bottom w:w="90" w:type="dxa"/>
              <w:right w:w="100" w:type="dxa"/>
            </w:tcMar>
            <w:vAlign w:val="center"/>
          </w:tcPr>
          <w:p w14:paraId="7BADFAB9">
            <w:pPr>
              <w:spacing w:before="0" w:after="0" w:line="264" w:lineRule="auto"/>
              <w:jc w:val="center"/>
            </w:pPr>
            <w:r>
              <w:rPr>
                <w:sz w:val="17"/>
              </w:rPr>
              <w:t>导盲犬</w:t>
            </w:r>
          </w:p>
        </w:tc>
        <w:tc>
          <w:tcPr>
            <w:tcW w:w="1592" w:type="dxa"/>
            <w:shd w:val="clear" w:color="auto" w:fill="FFFFFF"/>
            <w:tcMar>
              <w:top w:w="90" w:type="dxa"/>
              <w:left w:w="100" w:type="dxa"/>
              <w:bottom w:w="90" w:type="dxa"/>
              <w:right w:w="100" w:type="dxa"/>
            </w:tcMar>
            <w:vAlign w:val="center"/>
          </w:tcPr>
          <w:p w14:paraId="5C788304">
            <w:pPr>
              <w:spacing w:before="0" w:after="0" w:line="264" w:lineRule="auto"/>
              <w:jc w:val="center"/>
            </w:pPr>
            <w:r>
              <w:rPr>
                <w:sz w:val="17"/>
              </w:rPr>
              <w:t>噪音问题</w:t>
            </w:r>
          </w:p>
        </w:tc>
        <w:tc>
          <w:tcPr>
            <w:tcW w:w="955" w:type="dxa"/>
            <w:shd w:val="clear" w:color="auto" w:fill="FFFFFF"/>
            <w:tcMar>
              <w:top w:w="90" w:type="dxa"/>
              <w:left w:w="100" w:type="dxa"/>
              <w:bottom w:w="90" w:type="dxa"/>
              <w:right w:w="100" w:type="dxa"/>
            </w:tcMar>
            <w:vAlign w:val="center"/>
          </w:tcPr>
          <w:p w14:paraId="16471B61">
            <w:pPr>
              <w:spacing w:before="0" w:after="0" w:line="264" w:lineRule="auto"/>
              <w:jc w:val="center"/>
            </w:pPr>
            <w:r>
              <w:rPr>
                <w:sz w:val="17"/>
              </w:rPr>
              <w:t>171</w:t>
            </w:r>
          </w:p>
        </w:tc>
        <w:tc>
          <w:tcPr>
            <w:tcW w:w="1401" w:type="dxa"/>
            <w:shd w:val="clear" w:color="auto" w:fill="FFFFFF"/>
            <w:tcMar>
              <w:top w:w="90" w:type="dxa"/>
              <w:left w:w="100" w:type="dxa"/>
              <w:bottom w:w="90" w:type="dxa"/>
              <w:right w:w="100" w:type="dxa"/>
            </w:tcMar>
            <w:vAlign w:val="center"/>
          </w:tcPr>
          <w:p w14:paraId="40F2136F">
            <w:pPr>
              <w:spacing w:before="0" w:after="0" w:line="264" w:lineRule="auto"/>
              <w:jc w:val="center"/>
            </w:pPr>
            <w:r>
              <w:rPr>
                <w:sz w:val="17"/>
              </w:rPr>
              <w:t>19.2%</w:t>
            </w:r>
          </w:p>
        </w:tc>
        <w:tc>
          <w:tcPr>
            <w:tcW w:w="3058" w:type="dxa"/>
            <w:shd w:val="clear" w:color="auto" w:fill="FFFFFF"/>
            <w:tcMar>
              <w:top w:w="90" w:type="dxa"/>
              <w:left w:w="100" w:type="dxa"/>
              <w:bottom w:w="90" w:type="dxa"/>
              <w:right w:w="100" w:type="dxa"/>
            </w:tcMar>
            <w:vAlign w:val="center"/>
          </w:tcPr>
          <w:p w14:paraId="21E04FD5">
            <w:pPr>
              <w:spacing w:before="0" w:after="0" w:line="264" w:lineRule="auto"/>
              <w:jc w:val="center"/>
            </w:pPr>
            <w:r>
              <w:rPr>
                <w:sz w:val="17"/>
              </w:rPr>
              <w:t>12.7%</w:t>
            </w:r>
          </w:p>
        </w:tc>
      </w:tr>
      <w:tr w14:paraId="0925FFB2">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274" w:type="dxa"/>
            <w:shd w:val="clear" w:color="auto" w:fill="FAFAF8"/>
            <w:tcMar>
              <w:top w:w="90" w:type="dxa"/>
              <w:left w:w="100" w:type="dxa"/>
              <w:bottom w:w="90" w:type="dxa"/>
              <w:right w:w="100" w:type="dxa"/>
            </w:tcMar>
            <w:vAlign w:val="center"/>
          </w:tcPr>
          <w:p w14:paraId="4397B30F">
            <w:pPr>
              <w:spacing w:before="0" w:after="0" w:line="264" w:lineRule="auto"/>
              <w:jc w:val="center"/>
            </w:pPr>
            <w:r>
              <w:rPr>
                <w:sz w:val="17"/>
              </w:rPr>
              <w:t>导盲犬</w:t>
            </w:r>
          </w:p>
        </w:tc>
        <w:tc>
          <w:tcPr>
            <w:tcW w:w="1592" w:type="dxa"/>
            <w:shd w:val="clear" w:color="auto" w:fill="FAFAF8"/>
            <w:tcMar>
              <w:top w:w="90" w:type="dxa"/>
              <w:left w:w="100" w:type="dxa"/>
              <w:bottom w:w="90" w:type="dxa"/>
              <w:right w:w="100" w:type="dxa"/>
            </w:tcMar>
            <w:vAlign w:val="center"/>
          </w:tcPr>
          <w:p w14:paraId="2DBD271C">
            <w:pPr>
              <w:spacing w:before="0" w:after="0" w:line="264" w:lineRule="auto"/>
              <w:jc w:val="center"/>
            </w:pPr>
            <w:r>
              <w:rPr>
                <w:sz w:val="17"/>
              </w:rPr>
              <w:t>客诉压力</w:t>
            </w:r>
          </w:p>
        </w:tc>
        <w:tc>
          <w:tcPr>
            <w:tcW w:w="955" w:type="dxa"/>
            <w:shd w:val="clear" w:color="auto" w:fill="FAFAF8"/>
            <w:tcMar>
              <w:top w:w="90" w:type="dxa"/>
              <w:left w:w="100" w:type="dxa"/>
              <w:bottom w:w="90" w:type="dxa"/>
              <w:right w:w="100" w:type="dxa"/>
            </w:tcMar>
            <w:vAlign w:val="center"/>
          </w:tcPr>
          <w:p w14:paraId="4C921CC9">
            <w:pPr>
              <w:spacing w:before="0" w:after="0" w:line="264" w:lineRule="auto"/>
              <w:jc w:val="center"/>
            </w:pPr>
            <w:r>
              <w:rPr>
                <w:sz w:val="17"/>
              </w:rPr>
              <w:t>161</w:t>
            </w:r>
          </w:p>
        </w:tc>
        <w:tc>
          <w:tcPr>
            <w:tcW w:w="1401" w:type="dxa"/>
            <w:shd w:val="clear" w:color="auto" w:fill="FAFAF8"/>
            <w:tcMar>
              <w:top w:w="90" w:type="dxa"/>
              <w:left w:w="100" w:type="dxa"/>
              <w:bottom w:w="90" w:type="dxa"/>
              <w:right w:w="100" w:type="dxa"/>
            </w:tcMar>
            <w:vAlign w:val="center"/>
          </w:tcPr>
          <w:p w14:paraId="1C672D07">
            <w:pPr>
              <w:spacing w:before="0" w:after="0" w:line="264" w:lineRule="auto"/>
              <w:jc w:val="center"/>
            </w:pPr>
            <w:r>
              <w:rPr>
                <w:sz w:val="17"/>
              </w:rPr>
              <w:t>18.1%</w:t>
            </w:r>
          </w:p>
        </w:tc>
        <w:tc>
          <w:tcPr>
            <w:tcW w:w="3058" w:type="dxa"/>
            <w:shd w:val="clear" w:color="auto" w:fill="FAFAF8"/>
            <w:tcMar>
              <w:top w:w="90" w:type="dxa"/>
              <w:left w:w="100" w:type="dxa"/>
              <w:bottom w:w="90" w:type="dxa"/>
              <w:right w:w="100" w:type="dxa"/>
            </w:tcMar>
            <w:vAlign w:val="center"/>
          </w:tcPr>
          <w:p w14:paraId="3D372F7F">
            <w:pPr>
              <w:spacing w:before="0" w:after="0" w:line="264" w:lineRule="auto"/>
              <w:jc w:val="center"/>
            </w:pPr>
            <w:r>
              <w:rPr>
                <w:sz w:val="17"/>
              </w:rPr>
              <w:t>12.0%</w:t>
            </w:r>
          </w:p>
        </w:tc>
      </w:tr>
      <w:tr w14:paraId="260C6AC0">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274" w:type="dxa"/>
            <w:shd w:val="clear" w:color="auto" w:fill="FFFFFF"/>
            <w:tcMar>
              <w:top w:w="90" w:type="dxa"/>
              <w:left w:w="100" w:type="dxa"/>
              <w:bottom w:w="90" w:type="dxa"/>
              <w:right w:w="100" w:type="dxa"/>
            </w:tcMar>
            <w:vAlign w:val="center"/>
          </w:tcPr>
          <w:p w14:paraId="11CEFA00">
            <w:pPr>
              <w:spacing w:before="0" w:after="0" w:line="264" w:lineRule="auto"/>
              <w:jc w:val="center"/>
            </w:pPr>
            <w:r>
              <w:rPr>
                <w:sz w:val="17"/>
              </w:rPr>
              <w:t>导盲犬</w:t>
            </w:r>
          </w:p>
        </w:tc>
        <w:tc>
          <w:tcPr>
            <w:tcW w:w="1592" w:type="dxa"/>
            <w:shd w:val="clear" w:color="auto" w:fill="FFFFFF"/>
            <w:tcMar>
              <w:top w:w="90" w:type="dxa"/>
              <w:left w:w="100" w:type="dxa"/>
              <w:bottom w:w="90" w:type="dxa"/>
              <w:right w:w="100" w:type="dxa"/>
            </w:tcMar>
            <w:vAlign w:val="center"/>
          </w:tcPr>
          <w:p w14:paraId="4C599D87">
            <w:pPr>
              <w:spacing w:before="0" w:after="0" w:line="264" w:lineRule="auto"/>
              <w:jc w:val="center"/>
            </w:pPr>
            <w:r>
              <w:rPr>
                <w:sz w:val="17"/>
              </w:rPr>
              <w:t>财产损耗</w:t>
            </w:r>
          </w:p>
        </w:tc>
        <w:tc>
          <w:tcPr>
            <w:tcW w:w="955" w:type="dxa"/>
            <w:shd w:val="clear" w:color="auto" w:fill="FFFFFF"/>
            <w:tcMar>
              <w:top w:w="90" w:type="dxa"/>
              <w:left w:w="100" w:type="dxa"/>
              <w:bottom w:w="90" w:type="dxa"/>
              <w:right w:w="100" w:type="dxa"/>
            </w:tcMar>
            <w:vAlign w:val="center"/>
          </w:tcPr>
          <w:p w14:paraId="24FD217B">
            <w:pPr>
              <w:spacing w:before="0" w:after="0" w:line="264" w:lineRule="auto"/>
              <w:jc w:val="center"/>
            </w:pPr>
            <w:r>
              <w:rPr>
                <w:sz w:val="17"/>
              </w:rPr>
              <w:t>114</w:t>
            </w:r>
          </w:p>
        </w:tc>
        <w:tc>
          <w:tcPr>
            <w:tcW w:w="1401" w:type="dxa"/>
            <w:shd w:val="clear" w:color="auto" w:fill="FFFFFF"/>
            <w:tcMar>
              <w:top w:w="90" w:type="dxa"/>
              <w:left w:w="100" w:type="dxa"/>
              <w:bottom w:w="90" w:type="dxa"/>
              <w:right w:w="100" w:type="dxa"/>
            </w:tcMar>
            <w:vAlign w:val="center"/>
          </w:tcPr>
          <w:p w14:paraId="1DFA3291">
            <w:pPr>
              <w:spacing w:before="0" w:after="0" w:line="264" w:lineRule="auto"/>
              <w:jc w:val="center"/>
            </w:pPr>
            <w:r>
              <w:rPr>
                <w:sz w:val="17"/>
              </w:rPr>
              <w:t>12.8%</w:t>
            </w:r>
          </w:p>
        </w:tc>
        <w:tc>
          <w:tcPr>
            <w:tcW w:w="3058" w:type="dxa"/>
            <w:shd w:val="clear" w:color="auto" w:fill="FFFFFF"/>
            <w:tcMar>
              <w:top w:w="90" w:type="dxa"/>
              <w:left w:w="100" w:type="dxa"/>
              <w:bottom w:w="90" w:type="dxa"/>
              <w:right w:w="100" w:type="dxa"/>
            </w:tcMar>
            <w:vAlign w:val="center"/>
          </w:tcPr>
          <w:p w14:paraId="2272B813">
            <w:pPr>
              <w:spacing w:before="0" w:after="0" w:line="264" w:lineRule="auto"/>
              <w:jc w:val="center"/>
            </w:pPr>
            <w:r>
              <w:rPr>
                <w:sz w:val="17"/>
              </w:rPr>
              <w:t>8.5%</w:t>
            </w:r>
          </w:p>
        </w:tc>
      </w:tr>
      <w:tr w14:paraId="44E072D9">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274" w:type="dxa"/>
            <w:shd w:val="clear" w:color="auto" w:fill="FAFAF8"/>
            <w:tcMar>
              <w:top w:w="90" w:type="dxa"/>
              <w:left w:w="100" w:type="dxa"/>
              <w:bottom w:w="90" w:type="dxa"/>
              <w:right w:w="100" w:type="dxa"/>
            </w:tcMar>
            <w:vAlign w:val="center"/>
          </w:tcPr>
          <w:p w14:paraId="456803EB">
            <w:pPr>
              <w:spacing w:before="0" w:after="0" w:line="264" w:lineRule="auto"/>
              <w:jc w:val="center"/>
            </w:pPr>
            <w:r>
              <w:rPr>
                <w:sz w:val="17"/>
              </w:rPr>
              <w:t>导盲犬</w:t>
            </w:r>
          </w:p>
        </w:tc>
        <w:tc>
          <w:tcPr>
            <w:tcW w:w="1592" w:type="dxa"/>
            <w:shd w:val="clear" w:color="auto" w:fill="FAFAF8"/>
            <w:tcMar>
              <w:top w:w="90" w:type="dxa"/>
              <w:left w:w="100" w:type="dxa"/>
              <w:bottom w:w="90" w:type="dxa"/>
              <w:right w:w="100" w:type="dxa"/>
            </w:tcMar>
            <w:vAlign w:val="center"/>
          </w:tcPr>
          <w:p w14:paraId="426B22BE">
            <w:pPr>
              <w:spacing w:before="0" w:after="0" w:line="264" w:lineRule="auto"/>
              <w:jc w:val="center"/>
            </w:pPr>
            <w:r>
              <w:rPr>
                <w:sz w:val="17"/>
              </w:rPr>
              <w:t>安全问题</w:t>
            </w:r>
          </w:p>
        </w:tc>
        <w:tc>
          <w:tcPr>
            <w:tcW w:w="955" w:type="dxa"/>
            <w:shd w:val="clear" w:color="auto" w:fill="FAFAF8"/>
            <w:tcMar>
              <w:top w:w="90" w:type="dxa"/>
              <w:left w:w="100" w:type="dxa"/>
              <w:bottom w:w="90" w:type="dxa"/>
              <w:right w:w="100" w:type="dxa"/>
            </w:tcMar>
            <w:vAlign w:val="center"/>
          </w:tcPr>
          <w:p w14:paraId="23209ABB">
            <w:pPr>
              <w:spacing w:before="0" w:after="0" w:line="264" w:lineRule="auto"/>
              <w:jc w:val="center"/>
            </w:pPr>
            <w:r>
              <w:rPr>
                <w:sz w:val="17"/>
              </w:rPr>
              <w:t>106</w:t>
            </w:r>
          </w:p>
        </w:tc>
        <w:tc>
          <w:tcPr>
            <w:tcW w:w="1401" w:type="dxa"/>
            <w:shd w:val="clear" w:color="auto" w:fill="FAFAF8"/>
            <w:tcMar>
              <w:top w:w="90" w:type="dxa"/>
              <w:left w:w="100" w:type="dxa"/>
              <w:bottom w:w="90" w:type="dxa"/>
              <w:right w:w="100" w:type="dxa"/>
            </w:tcMar>
            <w:vAlign w:val="center"/>
          </w:tcPr>
          <w:p w14:paraId="34DCCB41">
            <w:pPr>
              <w:spacing w:before="0" w:after="0" w:line="264" w:lineRule="auto"/>
              <w:jc w:val="center"/>
            </w:pPr>
            <w:r>
              <w:rPr>
                <w:sz w:val="17"/>
              </w:rPr>
              <w:t>11.9%</w:t>
            </w:r>
          </w:p>
        </w:tc>
        <w:tc>
          <w:tcPr>
            <w:tcW w:w="3058" w:type="dxa"/>
            <w:shd w:val="clear" w:color="auto" w:fill="FAFAF8"/>
            <w:tcMar>
              <w:top w:w="90" w:type="dxa"/>
              <w:left w:w="100" w:type="dxa"/>
              <w:bottom w:w="90" w:type="dxa"/>
              <w:right w:w="100" w:type="dxa"/>
            </w:tcMar>
            <w:vAlign w:val="center"/>
          </w:tcPr>
          <w:p w14:paraId="156E55DB">
            <w:pPr>
              <w:spacing w:before="0" w:after="0" w:line="264" w:lineRule="auto"/>
              <w:jc w:val="center"/>
            </w:pPr>
            <w:r>
              <w:rPr>
                <w:sz w:val="17"/>
              </w:rPr>
              <w:t>7.9%</w:t>
            </w:r>
          </w:p>
        </w:tc>
      </w:tr>
      <w:tr w14:paraId="1E2DA98A">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274" w:type="dxa"/>
            <w:shd w:val="clear" w:color="auto" w:fill="FFFFFF"/>
            <w:tcMar>
              <w:top w:w="90" w:type="dxa"/>
              <w:left w:w="100" w:type="dxa"/>
              <w:bottom w:w="90" w:type="dxa"/>
              <w:right w:w="100" w:type="dxa"/>
            </w:tcMar>
            <w:vAlign w:val="center"/>
          </w:tcPr>
          <w:p w14:paraId="71A2C2D3">
            <w:pPr>
              <w:spacing w:before="0" w:after="0" w:line="264" w:lineRule="auto"/>
              <w:jc w:val="center"/>
            </w:pPr>
            <w:r>
              <w:rPr>
                <w:sz w:val="17"/>
              </w:rPr>
              <w:t>导盲犬</w:t>
            </w:r>
          </w:p>
        </w:tc>
        <w:tc>
          <w:tcPr>
            <w:tcW w:w="1592" w:type="dxa"/>
            <w:shd w:val="clear" w:color="auto" w:fill="FFFFFF"/>
            <w:tcMar>
              <w:top w:w="90" w:type="dxa"/>
              <w:left w:w="100" w:type="dxa"/>
              <w:bottom w:w="90" w:type="dxa"/>
              <w:right w:w="100" w:type="dxa"/>
            </w:tcMar>
            <w:vAlign w:val="center"/>
          </w:tcPr>
          <w:p w14:paraId="0C190A3F">
            <w:pPr>
              <w:spacing w:before="0" w:after="0" w:line="264" w:lineRule="auto"/>
              <w:jc w:val="center"/>
            </w:pPr>
            <w:r>
              <w:rPr>
                <w:sz w:val="17"/>
              </w:rPr>
              <w:t>空间不适配</w:t>
            </w:r>
          </w:p>
        </w:tc>
        <w:tc>
          <w:tcPr>
            <w:tcW w:w="955" w:type="dxa"/>
            <w:shd w:val="clear" w:color="auto" w:fill="FFFFFF"/>
            <w:tcMar>
              <w:top w:w="90" w:type="dxa"/>
              <w:left w:w="100" w:type="dxa"/>
              <w:bottom w:w="90" w:type="dxa"/>
              <w:right w:w="100" w:type="dxa"/>
            </w:tcMar>
            <w:vAlign w:val="center"/>
          </w:tcPr>
          <w:p w14:paraId="37AAD473">
            <w:pPr>
              <w:spacing w:before="0" w:after="0" w:line="264" w:lineRule="auto"/>
              <w:jc w:val="center"/>
            </w:pPr>
            <w:r>
              <w:rPr>
                <w:sz w:val="17"/>
              </w:rPr>
              <w:t>45</w:t>
            </w:r>
          </w:p>
        </w:tc>
        <w:tc>
          <w:tcPr>
            <w:tcW w:w="1401" w:type="dxa"/>
            <w:shd w:val="clear" w:color="auto" w:fill="FFFFFF"/>
            <w:tcMar>
              <w:top w:w="90" w:type="dxa"/>
              <w:left w:w="100" w:type="dxa"/>
              <w:bottom w:w="90" w:type="dxa"/>
              <w:right w:w="100" w:type="dxa"/>
            </w:tcMar>
            <w:vAlign w:val="center"/>
          </w:tcPr>
          <w:p w14:paraId="2FA51725">
            <w:pPr>
              <w:spacing w:before="0" w:after="0" w:line="264" w:lineRule="auto"/>
              <w:jc w:val="center"/>
            </w:pPr>
            <w:r>
              <w:rPr>
                <w:sz w:val="17"/>
              </w:rPr>
              <w:t>5.1%</w:t>
            </w:r>
          </w:p>
        </w:tc>
        <w:tc>
          <w:tcPr>
            <w:tcW w:w="3058" w:type="dxa"/>
            <w:shd w:val="clear" w:color="auto" w:fill="FFFFFF"/>
            <w:tcMar>
              <w:top w:w="90" w:type="dxa"/>
              <w:left w:w="100" w:type="dxa"/>
              <w:bottom w:w="90" w:type="dxa"/>
              <w:right w:w="100" w:type="dxa"/>
            </w:tcMar>
            <w:vAlign w:val="center"/>
          </w:tcPr>
          <w:p w14:paraId="6B75B856">
            <w:pPr>
              <w:spacing w:before="0" w:after="0" w:line="264" w:lineRule="auto"/>
              <w:jc w:val="center"/>
            </w:pPr>
            <w:r>
              <w:rPr>
                <w:sz w:val="17"/>
              </w:rPr>
              <w:t>3.3%</w:t>
            </w:r>
          </w:p>
        </w:tc>
      </w:tr>
      <w:tr w14:paraId="06B7FB5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274" w:type="dxa"/>
            <w:shd w:val="clear" w:color="auto" w:fill="FAFAF8"/>
            <w:tcMar>
              <w:top w:w="90" w:type="dxa"/>
              <w:left w:w="100" w:type="dxa"/>
              <w:bottom w:w="90" w:type="dxa"/>
              <w:right w:w="100" w:type="dxa"/>
            </w:tcMar>
            <w:vAlign w:val="center"/>
          </w:tcPr>
          <w:p w14:paraId="58CDD4FE">
            <w:pPr>
              <w:spacing w:before="0" w:after="0" w:line="264" w:lineRule="auto"/>
              <w:jc w:val="center"/>
            </w:pPr>
            <w:r>
              <w:rPr>
                <w:sz w:val="17"/>
              </w:rPr>
              <w:t>视障者</w:t>
            </w:r>
          </w:p>
        </w:tc>
        <w:tc>
          <w:tcPr>
            <w:tcW w:w="1592" w:type="dxa"/>
            <w:shd w:val="clear" w:color="auto" w:fill="FAFAF8"/>
            <w:tcMar>
              <w:top w:w="90" w:type="dxa"/>
              <w:left w:w="100" w:type="dxa"/>
              <w:bottom w:w="90" w:type="dxa"/>
              <w:right w:w="100" w:type="dxa"/>
            </w:tcMar>
            <w:vAlign w:val="center"/>
          </w:tcPr>
          <w:p w14:paraId="6B710783">
            <w:pPr>
              <w:spacing w:before="0" w:after="0" w:line="264" w:lineRule="auto"/>
              <w:jc w:val="center"/>
            </w:pPr>
            <w:r>
              <w:rPr>
                <w:sz w:val="17"/>
              </w:rPr>
              <w:t>独立入住能力存疑</w:t>
            </w:r>
          </w:p>
        </w:tc>
        <w:tc>
          <w:tcPr>
            <w:tcW w:w="955" w:type="dxa"/>
            <w:shd w:val="clear" w:color="auto" w:fill="FAFAF8"/>
            <w:tcMar>
              <w:top w:w="90" w:type="dxa"/>
              <w:left w:w="100" w:type="dxa"/>
              <w:bottom w:w="90" w:type="dxa"/>
              <w:right w:w="100" w:type="dxa"/>
            </w:tcMar>
            <w:vAlign w:val="center"/>
          </w:tcPr>
          <w:p w14:paraId="6A3A145D">
            <w:pPr>
              <w:spacing w:before="0" w:after="0" w:line="264" w:lineRule="auto"/>
              <w:jc w:val="center"/>
            </w:pPr>
            <w:r>
              <w:rPr>
                <w:sz w:val="17"/>
              </w:rPr>
              <w:t>183</w:t>
            </w:r>
          </w:p>
        </w:tc>
        <w:tc>
          <w:tcPr>
            <w:tcW w:w="1401" w:type="dxa"/>
            <w:shd w:val="clear" w:color="auto" w:fill="FAFAF8"/>
            <w:tcMar>
              <w:top w:w="90" w:type="dxa"/>
              <w:left w:w="100" w:type="dxa"/>
              <w:bottom w:w="90" w:type="dxa"/>
              <w:right w:w="100" w:type="dxa"/>
            </w:tcMar>
            <w:vAlign w:val="center"/>
          </w:tcPr>
          <w:p w14:paraId="512C23A7">
            <w:pPr>
              <w:spacing w:before="0" w:after="0" w:line="264" w:lineRule="auto"/>
              <w:jc w:val="center"/>
            </w:pPr>
            <w:r>
              <w:rPr>
                <w:sz w:val="17"/>
              </w:rPr>
              <w:t>20.5%</w:t>
            </w:r>
          </w:p>
        </w:tc>
        <w:tc>
          <w:tcPr>
            <w:tcW w:w="3058" w:type="dxa"/>
            <w:shd w:val="clear" w:color="auto" w:fill="FAFAF8"/>
            <w:tcMar>
              <w:top w:w="90" w:type="dxa"/>
              <w:left w:w="100" w:type="dxa"/>
              <w:bottom w:w="90" w:type="dxa"/>
              <w:right w:w="100" w:type="dxa"/>
            </w:tcMar>
            <w:vAlign w:val="center"/>
          </w:tcPr>
          <w:p w14:paraId="25609EC7">
            <w:pPr>
              <w:spacing w:before="0" w:after="0" w:line="264" w:lineRule="auto"/>
              <w:jc w:val="center"/>
            </w:pPr>
            <w:r>
              <w:rPr>
                <w:sz w:val="17"/>
              </w:rPr>
              <w:t>13.6%</w:t>
            </w:r>
          </w:p>
        </w:tc>
      </w:tr>
      <w:tr w14:paraId="3D8E3E9D">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274" w:type="dxa"/>
            <w:shd w:val="clear" w:color="auto" w:fill="FFFFFF"/>
            <w:tcMar>
              <w:top w:w="90" w:type="dxa"/>
              <w:left w:w="100" w:type="dxa"/>
              <w:bottom w:w="90" w:type="dxa"/>
              <w:right w:w="100" w:type="dxa"/>
            </w:tcMar>
            <w:vAlign w:val="center"/>
          </w:tcPr>
          <w:p w14:paraId="5B329B56">
            <w:pPr>
              <w:spacing w:before="0" w:after="0" w:line="264" w:lineRule="auto"/>
              <w:jc w:val="center"/>
            </w:pPr>
            <w:r>
              <w:rPr>
                <w:sz w:val="17"/>
              </w:rPr>
              <w:t>视障者</w:t>
            </w:r>
          </w:p>
        </w:tc>
        <w:tc>
          <w:tcPr>
            <w:tcW w:w="1592" w:type="dxa"/>
            <w:shd w:val="clear" w:color="auto" w:fill="FFFFFF"/>
            <w:tcMar>
              <w:top w:w="90" w:type="dxa"/>
              <w:left w:w="100" w:type="dxa"/>
              <w:bottom w:w="90" w:type="dxa"/>
              <w:right w:w="100" w:type="dxa"/>
            </w:tcMar>
            <w:vAlign w:val="center"/>
          </w:tcPr>
          <w:p w14:paraId="3F7E24CF">
            <w:pPr>
              <w:spacing w:before="0" w:after="0" w:line="264" w:lineRule="auto"/>
              <w:jc w:val="center"/>
            </w:pPr>
            <w:r>
              <w:rPr>
                <w:sz w:val="17"/>
              </w:rPr>
              <w:t>管理导盲犬能力存疑</w:t>
            </w:r>
          </w:p>
        </w:tc>
        <w:tc>
          <w:tcPr>
            <w:tcW w:w="955" w:type="dxa"/>
            <w:shd w:val="clear" w:color="auto" w:fill="FFFFFF"/>
            <w:tcMar>
              <w:top w:w="90" w:type="dxa"/>
              <w:left w:w="100" w:type="dxa"/>
              <w:bottom w:w="90" w:type="dxa"/>
              <w:right w:w="100" w:type="dxa"/>
            </w:tcMar>
            <w:vAlign w:val="center"/>
          </w:tcPr>
          <w:p w14:paraId="6556E89F">
            <w:pPr>
              <w:spacing w:before="0" w:after="0" w:line="264" w:lineRule="auto"/>
              <w:jc w:val="center"/>
            </w:pPr>
            <w:r>
              <w:rPr>
                <w:sz w:val="17"/>
              </w:rPr>
              <w:t>25</w:t>
            </w:r>
          </w:p>
        </w:tc>
        <w:tc>
          <w:tcPr>
            <w:tcW w:w="1401" w:type="dxa"/>
            <w:shd w:val="clear" w:color="auto" w:fill="FFFFFF"/>
            <w:tcMar>
              <w:top w:w="90" w:type="dxa"/>
              <w:left w:w="100" w:type="dxa"/>
              <w:bottom w:w="90" w:type="dxa"/>
              <w:right w:w="100" w:type="dxa"/>
            </w:tcMar>
            <w:vAlign w:val="center"/>
          </w:tcPr>
          <w:p w14:paraId="52270A48">
            <w:pPr>
              <w:spacing w:before="0" w:after="0" w:line="264" w:lineRule="auto"/>
              <w:jc w:val="center"/>
            </w:pPr>
            <w:r>
              <w:rPr>
                <w:sz w:val="17"/>
              </w:rPr>
              <w:t>2.8%</w:t>
            </w:r>
          </w:p>
        </w:tc>
        <w:tc>
          <w:tcPr>
            <w:tcW w:w="3058" w:type="dxa"/>
            <w:shd w:val="clear" w:color="auto" w:fill="FFFFFF"/>
            <w:tcMar>
              <w:top w:w="90" w:type="dxa"/>
              <w:left w:w="100" w:type="dxa"/>
              <w:bottom w:w="90" w:type="dxa"/>
              <w:right w:w="100" w:type="dxa"/>
            </w:tcMar>
            <w:vAlign w:val="center"/>
          </w:tcPr>
          <w:p w14:paraId="3EC242EC">
            <w:pPr>
              <w:spacing w:before="0" w:after="0" w:line="264" w:lineRule="auto"/>
              <w:jc w:val="center"/>
            </w:pPr>
            <w:r>
              <w:rPr>
                <w:sz w:val="17"/>
              </w:rPr>
              <w:t>1.9%</w:t>
            </w:r>
          </w:p>
        </w:tc>
      </w:tr>
    </w:tbl>
    <w:p w14:paraId="1504CF93">
      <w:pPr>
        <w:pStyle w:val="5"/>
        <w:numPr>
          <w:ilvl w:val="2"/>
          <w:numId w:val="1"/>
        </w:numPr>
      </w:pPr>
      <w:r>
        <w:t>（一）把导盲犬归入普通宠物</w:t>
      </w:r>
    </w:p>
    <w:p w14:paraId="749BF944">
      <w:r>
        <w:t>将导盲犬按照普通宠物理解是最常见的理由，共出现364次，电话覆盖率为40.9%，占全部拒绝理由的27.1%。部分工作人员会直接回答“酒店不让宠物入住”，甚至反问“导盲犬就不是狗吗？”另有门店表示：“我们这就不允许带宠物。”</w:t>
      </w:r>
    </w:p>
    <w:p w14:paraId="33AC9EA6">
      <w:pPr>
        <w:keepLines/>
        <w:ind w:firstLine="420"/>
        <w:rPr>
          <w:rFonts w:hint="default" w:eastAsia="宋体"/>
          <w:lang w:val="en-US" w:eastAsia="zh-CN"/>
        </w:rPr>
      </w:pPr>
      <w:r>
        <w:t>在合肥7天火车站地铁站店，一位咨询者说明自己需要携带导盲犬。前台按宠物回应并提出押金，他纠正导盲犬的工作属性，再问是否仍要押金、金额多少，以及还有没有其他要求。</w:t>
      </w:r>
      <w:r>
        <w:rPr>
          <w:rFonts w:hint="eastAsia"/>
          <w:lang w:val="en-US" w:eastAsia="zh-CN"/>
        </w:rPr>
        <w:t>前台没有继续回应，而是直接挂断了电话。</w:t>
      </w:r>
    </w:p>
    <w:p w14:paraId="1EB68EC1">
      <w:r>
        <w:t>卫生、噪音和客诉压力的电话覆盖率分别为19.6%、19.2%和18.1%。门店会担心掉毛、异味、大小便、夜间叫声，或其他住客投诉和差评。财产损耗和安全问题的电话覆盖率分别为12.8%和11.9%，相关担忧有时会转化为额外押金、清洁费、佩戴嘴套或不得进入部分区域等附加条件。电话中出现过“会不会在房间里面拉？”“怕影响到别的客人。”“如果引起客人投诉，给我们差评怎么办？”等询问和顾虑。</w:t>
      </w:r>
    </w:p>
    <w:p w14:paraId="5C8F4F10">
      <w:pPr>
        <w:pStyle w:val="5"/>
        <w:numPr>
          <w:ilvl w:val="2"/>
          <w:numId w:val="1"/>
        </w:numPr>
      </w:pPr>
      <w:r>
        <w:t>（二）对视障者独立入住能力的误判</w:t>
      </w:r>
    </w:p>
    <w:p w14:paraId="35C6CE85">
      <w:pPr>
        <w:rPr>
          <w:lang w:eastAsia="zh-CN"/>
        </w:rPr>
      </w:pPr>
      <w:r>
        <w:t>围绕视障者本人的担忧占比较低。部分门店会反复询问是否有人陪同，怀疑视障者能否独立办理入住、在陌生空间中行动，或者能否管理导盲犬。“你有陪同的人一起吗？”和“我们台阶比较多，怕你一个人不方便。”反映了这类判断。</w:t>
      </w:r>
    </w:p>
    <w:p w14:paraId="2103BE43">
      <w:r>
        <w:t>空间不适配理由的电话覆盖率为5.1%。一类门店把导盲犬理解为需要寄存或单独安置的动物，以“没有存放宠物的地方”为由拒绝；另一类门店不了解视障者的实际入住需求，进而想象其需要复杂的空间和人员支持。围绕安全的顾虑中，还有门店反复询问“导盲犬会不会咬人”“要不要加一个嘴套”，或要求“不要让它上床”“不要让它乱跑”。</w:t>
      </w:r>
    </w:p>
    <w:p w14:paraId="27A6C47E">
      <w:pPr>
        <w:pStyle w:val="5"/>
        <w:numPr>
          <w:ilvl w:val="2"/>
          <w:numId w:val="1"/>
        </w:numPr>
      </w:pPr>
      <w:r>
        <w:t>（三）实际需求通常是清楚的信息和按需引导</w:t>
      </w:r>
    </w:p>
    <w:p w14:paraId="43CCE4EF">
      <w:r>
        <w:t>研究团队成员及参与交流的使用者提到，常见需求是清楚、具体、可以直接使用的环境信息，例如前台到电梯的方向、空调开关的位置、卫生间布局，以及房间内主要设施的摆放。工作人员可以直接询问住客需要哪些说明或引导，让住客根据自己的行动习惯作出选择。</w:t>
      </w:r>
    </w:p>
    <w:p w14:paraId="26778E23">
      <w:pPr>
        <w:rPr>
          <w:rFonts w:hint="default" w:eastAsia="宋体"/>
          <w:lang w:val="en-US" w:eastAsia="zh-CN"/>
        </w:rPr>
      </w:pPr>
      <w:r>
        <w:t>台阶、错层、复杂走廊或房间布局确实可能影响行动，但障碍还可能来自门店没有提供必要说明、按需引导和可预期的服务流程。办理入住时简要介绍公共空间和客房设施，或者在住客需要时提供一次性引导，可以减少陌生环境中的不确定性，也能帮助门店准确判断接待需求</w:t>
      </w:r>
      <w:r>
        <w:rPr>
          <w:rFonts w:hint="eastAsia"/>
          <w:lang w:eastAsia="zh-CN"/>
        </w:rPr>
        <w:t>，</w:t>
      </w:r>
      <w:r>
        <w:rPr>
          <w:rFonts w:hint="eastAsia"/>
          <w:lang w:val="en-US" w:eastAsia="zh-CN"/>
        </w:rPr>
        <w:t>但有的时候，当导盲犬使用者告诉门店这些需求的时候，可能会吓坏工作人员，因为这正好符合了他们的刻板印象。</w:t>
      </w:r>
    </w:p>
    <w:p w14:paraId="5394A6AF">
      <w:pPr>
        <w:pStyle w:val="4"/>
      </w:pPr>
      <w:bookmarkStart w:id="24" w:name="_Toc239432612"/>
      <w:bookmarkStart w:id="25" w:name="_Toc240635839"/>
      <w:r>
        <w:rPr>
          <w:rFonts w:ascii="宋体" w:hAnsi="宋体" w:eastAsia="宋体"/>
          <w:b w:val="0"/>
        </w:rPr>
        <w:t>三 三类服务结果的形成机制</w:t>
      </w:r>
      <w:bookmarkEnd w:id="24"/>
      <w:bookmarkEnd w:id="25"/>
    </w:p>
    <w:p w14:paraId="08CB7CD7">
      <w:r>
        <w:t>制度和认知因素相互影响。集团规则不清、渠道信息不一致和一线授权不足，会增加员工临时判断的空间；员工对导盲犬的宠物化理解和风险判断，也会影响门店是否拒绝、反复确认或提出附带条件。</w:t>
      </w:r>
    </w:p>
    <w:p w14:paraId="018101DA">
      <w:pPr>
        <w:pStyle w:val="5"/>
        <w:numPr>
          <w:ilvl w:val="2"/>
          <w:numId w:val="1"/>
        </w:numPr>
      </w:pPr>
      <w:r>
        <w:t>（一）最终拒绝的形成</w:t>
      </w:r>
    </w:p>
    <w:p w14:paraId="4D30AF15">
      <w:r>
        <w:t>门店直接套用普通宠物禁入规则时，咨询可能在第一步终止。消费者解释导盲犬的工作属性后，拒绝理由还可能转向卫生、噪音、安全、其他住客反应和视障者能否独立入住。</w:t>
      </w:r>
    </w:p>
    <w:p w14:paraId="5FB99CE2">
      <w:r>
        <w:t>拒绝理由</w:t>
      </w:r>
      <w:r>
        <w:rPr>
          <w:rFonts w:hint="eastAsia"/>
          <w:lang w:val="en-US" w:eastAsia="zh-CN"/>
        </w:rPr>
        <w:t>会</w:t>
      </w:r>
      <w:r>
        <w:t>不断变化，</w:t>
      </w:r>
      <w:r>
        <w:rPr>
          <w:rFonts w:hint="eastAsia"/>
          <w:lang w:val="en-US" w:eastAsia="zh-CN"/>
        </w:rPr>
        <w:t>不会随着</w:t>
      </w:r>
      <w:r>
        <w:t>咨询者说明工作犬属性或出示规定结束争议。</w:t>
      </w:r>
      <w:r>
        <w:rPr>
          <w:rFonts w:hint="eastAsia"/>
          <w:lang w:val="en-US" w:eastAsia="zh-CN"/>
        </w:rPr>
        <w:t>因为门店就是完全不想接待，拒绝沟通，不在乎是否违反法律。</w:t>
      </w:r>
    </w:p>
    <w:p w14:paraId="6EC470C0">
      <w:pPr>
        <w:pStyle w:val="5"/>
        <w:numPr>
          <w:ilvl w:val="2"/>
          <w:numId w:val="1"/>
        </w:numPr>
      </w:pPr>
      <w:r>
        <w:t>（二）多轮沟通的形成</w:t>
      </w:r>
    </w:p>
    <w:p w14:paraId="0126701D">
      <w:pPr>
        <w:rPr>
          <w:rFonts w:hint="default" w:eastAsia="宋体"/>
          <w:lang w:val="en-US" w:eastAsia="zh-CN"/>
        </w:rPr>
      </w:pPr>
      <w:r>
        <w:t>前台没有明确规则或授权时，往往需要向值班经理、店长或总部客服逐级确认。消费者需要等待、再次致电，或者向不同工作人员重复解释同一需求</w:t>
      </w:r>
      <w:r>
        <w:rPr>
          <w:rFonts w:hint="eastAsia"/>
          <w:lang w:eastAsia="zh-CN"/>
        </w:rPr>
        <w:t>，</w:t>
      </w:r>
      <w:r>
        <w:rPr>
          <w:rFonts w:hint="eastAsia"/>
          <w:lang w:val="en-US" w:eastAsia="zh-CN"/>
        </w:rPr>
        <w:t>直到最终获得同意。</w:t>
      </w:r>
    </w:p>
    <w:p w14:paraId="3AA7AD7A">
      <w:r>
        <w:t>客诉压力经常成为</w:t>
      </w:r>
      <w:r>
        <w:rPr>
          <w:rFonts w:hint="eastAsia"/>
          <w:lang w:val="en-US" w:eastAsia="zh-CN"/>
        </w:rPr>
        <w:t>导盲犬使用者与酒店</w:t>
      </w:r>
      <w:r>
        <w:t>沟通难以</w:t>
      </w:r>
      <w:r>
        <w:rPr>
          <w:rFonts w:hint="eastAsia"/>
          <w:lang w:val="en-US" w:eastAsia="zh-CN"/>
        </w:rPr>
        <w:t>达成共识</w:t>
      </w:r>
      <w:r>
        <w:t>的原因。消费者无法替所有其他住客保证不会介意或投诉，门店便可能仍然拒绝接待。消费者有时还要说明导盲犬依法进入公共场所的依据，或承诺在现场帮助酒店向其他住客解释，酒店应承担的说明和协调工作再次转移给了消费者。</w:t>
      </w:r>
    </w:p>
    <w:p w14:paraId="4DB6E9DA">
      <w:pPr>
        <w:pStyle w:val="5"/>
        <w:numPr>
          <w:ilvl w:val="2"/>
          <w:numId w:val="1"/>
        </w:numPr>
      </w:pPr>
      <w:r>
        <w:t>（三）附带条件的形成</w:t>
      </w:r>
    </w:p>
    <w:p w14:paraId="7D362EE7">
      <w:r>
        <w:t>部分门店没有直接拒绝，而是通过额外押金、清洁费、免责协议、特定房型或活动范围限制处理担忧。这些安排把门店对卫生、安全和客诉的不确定性转化为消费者额外承担的费用、承诺和限制。</w:t>
      </w:r>
    </w:p>
    <w:p w14:paraId="22B2448A">
      <w:pPr>
        <w:pStyle w:val="4"/>
      </w:pPr>
      <w:bookmarkStart w:id="26" w:name="_Toc240635840"/>
      <w:bookmarkStart w:id="27" w:name="_Toc239432613"/>
      <w:r>
        <w:rPr>
          <w:rFonts w:ascii="宋体" w:hAnsi="宋体" w:eastAsia="宋体"/>
          <w:b w:val="0"/>
        </w:rPr>
        <w:t>四 原因分析小结</w:t>
      </w:r>
      <w:bookmarkEnd w:id="26"/>
      <w:bookmarkEnd w:id="27"/>
    </w:p>
    <w:p w14:paraId="2BFC15E9">
      <w:r>
        <w:rPr>
          <w:rFonts w:hint="eastAsia"/>
          <w:lang w:eastAsia="zh-CN"/>
        </w:rPr>
        <w:t>电话咨询记录、预订平台标注、集团公开材料和客服回复共同呈现了接待中的责任分工问题。集团规则或公开信息不明确时，前台难以直接答复，总部客服也可能把决定推回门店，消费者便需要在不同渠道之间继续询问和解释。</w:t>
      </w:r>
    </w:p>
    <w:p w14:paraId="00E152D5">
      <w:pPr>
        <w:rPr>
          <w:lang w:eastAsia="zh-CN"/>
        </w:rPr>
      </w:pPr>
      <w:r>
        <w:t>品牌和集团得分反映本次样本中的规则清晰度、客服熟悉度和答复表现。对使用者而言，这些差异体现为能否查到规则、咨询谁能够解决问题，以及已经说明的需求是否还要重新解释。</w:t>
      </w:r>
    </w:p>
    <w:p w14:paraId="5F3357EB">
      <w:r>
        <w:t>一线人员把导盲犬归为普通宠物，或未了解住客的实际需要便推定其无法独立入住，会进一步增加拒绝和附加条件。集团应提供清楚的规则和授权，门店应查明需求并负责内部协调。这样，消费者才能把精力用于安排住宿，而不必同时承担向前台、管理人员和客服反复说明接待依据的工作。</w:t>
      </w:r>
    </w:p>
    <w:p w14:paraId="4FC0C875">
      <w:r>
        <w:rPr>
          <w:rFonts w:hint="eastAsia"/>
          <w:lang w:val="en-US" w:eastAsia="zh-CN"/>
        </w:rPr>
        <w:t>其实</w:t>
      </w:r>
      <w:r>
        <w:t>这类能力并不只用于导盲犬接待。老人、儿童、临时受伤者以及遇到突发情况的普通住客，同样需要准确的信息、清楚的责任分工和可以执行的服务流程。</w:t>
      </w:r>
    </w:p>
    <w:p w14:paraId="31D72000">
      <w:pPr>
        <w:pStyle w:val="3"/>
        <w:pageBreakBefore/>
      </w:pPr>
      <w:bookmarkStart w:id="28" w:name="_Toc238606832"/>
      <w:bookmarkStart w:id="29" w:name="_Toc239432619"/>
      <w:bookmarkStart w:id="30" w:name="_Toc240635841"/>
      <w:r>
        <w:rPr>
          <w:rFonts w:hint="eastAsia" w:ascii="Times New Roman" w:hAnsi="Times New Roman" w:eastAsia="黑体"/>
          <w:lang w:eastAsia="zh-CN"/>
        </w:rPr>
        <w:t>第三章 改进建议</w:t>
      </w:r>
      <w:bookmarkEnd w:id="28"/>
      <w:bookmarkEnd w:id="29"/>
      <w:bookmarkEnd w:id="30"/>
    </w:p>
    <w:p w14:paraId="27742E5F">
      <w:r>
        <w:t>围绕电话调研中发现的顾虑与障碍，研究团队结合成员自身使用导盲犬的住宿经历、日常社群交流，以及与导盲犬使用者开展的单独交流、咨询和焦点小组讨论，形成</w:t>
      </w:r>
      <w:r>
        <w:rPr>
          <w:rFonts w:hint="eastAsia"/>
          <w:lang w:val="en-US" w:eastAsia="zh-CN"/>
        </w:rPr>
        <w:t>了一份</w:t>
      </w:r>
      <w:r>
        <w:t>面向酒店及其他相关方的改进建议。</w:t>
      </w:r>
    </w:p>
    <w:p w14:paraId="444894A4">
      <w:pPr>
        <w:rPr>
          <w:rFonts w:hint="eastAsia"/>
          <w:lang w:val="en-US" w:eastAsia="zh-CN"/>
        </w:rPr>
      </w:pPr>
      <w:r>
        <w:rPr>
          <w:rFonts w:hint="eastAsia"/>
          <w:lang w:val="en-US" w:eastAsia="zh-CN"/>
        </w:rPr>
        <w:t>残疾人携带导盲犬入住酒店，酒店提供便利这其实是基本底线，也并没有操作难度，只是因为在此之前社群的默会知识没有形成集体共识，导致相关的服务人员对导盲犬、导盲犬使用者的需求不了解，从而导致相关法律要求无法落实为一线服务。</w:t>
      </w:r>
    </w:p>
    <w:p w14:paraId="2F23B9EB">
      <w:pPr>
        <w:rPr>
          <w:b w:val="0"/>
          <w:bCs/>
        </w:rPr>
      </w:pPr>
      <w:r>
        <w:rPr>
          <w:rFonts w:hint="eastAsia"/>
          <w:lang w:val="en-US" w:eastAsia="zh-CN"/>
        </w:rPr>
        <w:t>此次</w:t>
      </w:r>
      <w:r>
        <w:rPr>
          <w:b w:val="0"/>
          <w:bCs/>
        </w:rPr>
        <w:t>改进建议按责任主体展开。依法为残疾人携带导盲犬等服务犬提供便利是</w:t>
      </w:r>
      <w:r>
        <w:rPr>
          <w:rFonts w:hint="eastAsia"/>
          <w:b w:val="0"/>
          <w:bCs/>
          <w:lang w:val="en-US" w:eastAsia="zh-CN"/>
        </w:rPr>
        <w:t>包括酒店业在内的公共服务部门的</w:t>
      </w:r>
      <w:r>
        <w:rPr>
          <w:b w:val="0"/>
          <w:bCs/>
        </w:rPr>
        <w:t>基本底线；信息公开、流程标准化、员工培训和按需引导属于</w:t>
      </w:r>
      <w:r>
        <w:rPr>
          <w:rFonts w:hint="eastAsia"/>
          <w:b w:val="0"/>
          <w:bCs/>
          <w:lang w:val="en-US" w:eastAsia="zh-CN"/>
        </w:rPr>
        <w:t>社会</w:t>
      </w:r>
      <w:r>
        <w:rPr>
          <w:b w:val="0"/>
          <w:bCs/>
        </w:rPr>
        <w:t>服务改进。</w:t>
      </w:r>
    </w:p>
    <w:p w14:paraId="08A04A2F">
      <w:pPr>
        <w:pStyle w:val="4"/>
        <w:numPr>
          <w:ilvl w:val="1"/>
          <w:numId w:val="1"/>
        </w:numPr>
        <w:spacing w:before="160" w:after="80"/>
      </w:pPr>
      <w:bookmarkStart w:id="31" w:name="_Toc238606833"/>
      <w:bookmarkStart w:id="32" w:name="_Toc240635842"/>
      <w:bookmarkStart w:id="33" w:name="_Toc239432620"/>
      <w:r>
        <w:rPr>
          <w:rFonts w:ascii="Times New Roman" w:hAnsi="Times New Roman" w:eastAsia="黑体"/>
        </w:rPr>
        <w:t>一 合规底线与行动优先级</w:t>
      </w:r>
      <w:bookmarkEnd w:id="31"/>
      <w:bookmarkEnd w:id="32"/>
      <w:bookmarkEnd w:id="33"/>
    </w:p>
    <w:p w14:paraId="084AB070">
      <w:r>
        <w:t>拒绝接待、无依据的额外收费以及相互矛盾的政策信息，应优先纠正；培训、监督、平台功能和公众沟通可以按责任主体持续完善。</w:t>
      </w:r>
    </w:p>
    <w:tbl>
      <w:tblPr>
        <w:tblStyle w:val="37"/>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autofit"/>
        <w:tblCellMar>
          <w:top w:w="0" w:type="dxa"/>
          <w:left w:w="108" w:type="dxa"/>
          <w:bottom w:w="0" w:type="dxa"/>
          <w:right w:w="108" w:type="dxa"/>
        </w:tblCellMar>
      </w:tblPr>
      <w:tblGrid>
        <w:gridCol w:w="1101"/>
        <w:gridCol w:w="2393"/>
        <w:gridCol w:w="4786"/>
      </w:tblGrid>
      <w:tr w14:paraId="39DF8BC8">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trHeight w:val="0" w:hRule="atLeast"/>
          <w:tblHeader/>
          <w:jc w:val="center"/>
        </w:trPr>
        <w:tc>
          <w:tcPr>
            <w:tcW w:w="1101" w:type="dxa"/>
            <w:shd w:val="clear" w:color="auto" w:fill="2C2C2C"/>
            <w:tcMar>
              <w:top w:w="90" w:type="dxa"/>
              <w:left w:w="100" w:type="dxa"/>
              <w:bottom w:w="90" w:type="dxa"/>
              <w:right w:w="100" w:type="dxa"/>
            </w:tcMar>
            <w:vAlign w:val="center"/>
          </w:tcPr>
          <w:p w14:paraId="345F777A">
            <w:pPr>
              <w:keepNext/>
              <w:snapToGrid w:val="0"/>
              <w:spacing w:before="0" w:after="0" w:line="240" w:lineRule="auto"/>
              <w:ind w:left="0" w:leftChars="0" w:right="0" w:rightChars="0" w:firstLine="0" w:firstLineChars="0"/>
              <w:jc w:val="center"/>
              <w:rPr>
                <w:rFonts w:ascii="Aptos" w:eastAsia="黑体"/>
                <w:b/>
                <w:sz w:val="17"/>
              </w:rPr>
            </w:pPr>
            <w:r>
              <w:rPr>
                <w:rFonts w:ascii="Aptos" w:eastAsia="黑体"/>
                <w:b/>
                <w:color w:val="FFFFFF"/>
                <w:sz w:val="17"/>
              </w:rPr>
              <w:t>责任主体</w:t>
            </w:r>
          </w:p>
        </w:tc>
        <w:tc>
          <w:tcPr>
            <w:tcW w:w="2393" w:type="dxa"/>
            <w:shd w:val="clear" w:color="auto" w:fill="2C2C2C"/>
            <w:tcMar>
              <w:top w:w="90" w:type="dxa"/>
              <w:left w:w="100" w:type="dxa"/>
              <w:bottom w:w="90" w:type="dxa"/>
              <w:right w:w="100" w:type="dxa"/>
            </w:tcMar>
            <w:vAlign w:val="center"/>
          </w:tcPr>
          <w:p w14:paraId="4D776567">
            <w:pPr>
              <w:keepNext/>
              <w:snapToGrid w:val="0"/>
              <w:spacing w:before="0" w:after="0" w:line="240" w:lineRule="auto"/>
              <w:ind w:left="0" w:leftChars="0" w:right="0" w:rightChars="0" w:firstLine="0" w:firstLineChars="0"/>
              <w:jc w:val="center"/>
              <w:rPr>
                <w:rFonts w:ascii="Aptos" w:eastAsia="黑体"/>
                <w:b/>
                <w:sz w:val="17"/>
              </w:rPr>
            </w:pPr>
            <w:r>
              <w:rPr>
                <w:rFonts w:ascii="Aptos" w:eastAsia="黑体"/>
                <w:b/>
                <w:color w:val="FFFFFF"/>
                <w:sz w:val="17"/>
              </w:rPr>
              <w:t>当前问题</w:t>
            </w:r>
          </w:p>
        </w:tc>
        <w:tc>
          <w:tcPr>
            <w:tcW w:w="4786" w:type="dxa"/>
            <w:shd w:val="clear" w:color="auto" w:fill="2C2C2C"/>
            <w:tcMar>
              <w:top w:w="90" w:type="dxa"/>
              <w:left w:w="100" w:type="dxa"/>
              <w:bottom w:w="90" w:type="dxa"/>
              <w:right w:w="100" w:type="dxa"/>
            </w:tcMar>
            <w:vAlign w:val="center"/>
          </w:tcPr>
          <w:p w14:paraId="7879F156">
            <w:pPr>
              <w:keepNext/>
              <w:snapToGrid w:val="0"/>
              <w:spacing w:before="0" w:after="0" w:line="240" w:lineRule="auto"/>
              <w:ind w:left="0" w:leftChars="0" w:right="0" w:rightChars="0" w:firstLine="0" w:firstLineChars="0"/>
              <w:jc w:val="center"/>
              <w:rPr>
                <w:rFonts w:ascii="Aptos" w:eastAsia="黑体"/>
                <w:b/>
                <w:sz w:val="17"/>
              </w:rPr>
            </w:pPr>
            <w:r>
              <w:rPr>
                <w:rFonts w:ascii="Aptos" w:eastAsia="黑体"/>
                <w:b/>
                <w:color w:val="FFFFFF"/>
                <w:sz w:val="17"/>
              </w:rPr>
              <w:t>优先动作</w:t>
            </w:r>
          </w:p>
        </w:tc>
      </w:tr>
      <w:tr w14:paraId="7DE9E23F">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trHeight w:val="0" w:hRule="atLeast"/>
          <w:jc w:val="center"/>
        </w:trPr>
        <w:tc>
          <w:tcPr>
            <w:tcW w:w="1101" w:type="dxa"/>
            <w:shd w:val="clear" w:color="auto" w:fill="FFFFFF"/>
            <w:tcMar>
              <w:top w:w="90" w:type="dxa"/>
              <w:left w:w="100" w:type="dxa"/>
              <w:bottom w:w="90" w:type="dxa"/>
              <w:right w:w="100" w:type="dxa"/>
            </w:tcMar>
            <w:vAlign w:val="center"/>
          </w:tcPr>
          <w:p w14:paraId="500246B4">
            <w:pPr>
              <w:snapToGrid w:val="0"/>
              <w:spacing w:before="0" w:after="0" w:line="240" w:lineRule="auto"/>
              <w:ind w:left="0" w:leftChars="0" w:right="0" w:rightChars="0" w:firstLine="0" w:firstLineChars="0"/>
              <w:jc w:val="left"/>
              <w:rPr>
                <w:rFonts w:ascii="Aptos" w:eastAsia="宋体"/>
                <w:sz w:val="17"/>
              </w:rPr>
            </w:pPr>
            <w:r>
              <w:rPr>
                <w:rFonts w:ascii="Aptos" w:eastAsia="宋体"/>
                <w:b/>
                <w:sz w:val="17"/>
              </w:rPr>
              <w:t>集团总部</w:t>
            </w:r>
          </w:p>
        </w:tc>
        <w:tc>
          <w:tcPr>
            <w:tcW w:w="2393" w:type="dxa"/>
            <w:shd w:val="clear" w:color="auto" w:fill="FFFFFF"/>
            <w:tcMar>
              <w:top w:w="90" w:type="dxa"/>
              <w:left w:w="100" w:type="dxa"/>
              <w:bottom w:w="90" w:type="dxa"/>
              <w:right w:w="100" w:type="dxa"/>
            </w:tcMar>
            <w:vAlign w:val="center"/>
          </w:tcPr>
          <w:p w14:paraId="025F5970">
            <w:pPr>
              <w:snapToGrid w:val="0"/>
              <w:spacing w:before="0" w:after="0" w:line="240" w:lineRule="auto"/>
              <w:ind w:left="0" w:leftChars="0" w:right="0" w:rightChars="0" w:firstLine="0" w:firstLineChars="0"/>
              <w:jc w:val="left"/>
              <w:rPr>
                <w:rFonts w:ascii="Aptos" w:eastAsia="宋体"/>
                <w:sz w:val="17"/>
              </w:rPr>
            </w:pPr>
            <w:r>
              <w:rPr>
                <w:rFonts w:ascii="Aptos" w:eastAsia="宋体"/>
                <w:sz w:val="17"/>
              </w:rPr>
              <w:t>集团与门店答复不一，纠正结果未传到接待岗位</w:t>
            </w:r>
          </w:p>
        </w:tc>
        <w:tc>
          <w:tcPr>
            <w:tcW w:w="4786" w:type="dxa"/>
            <w:shd w:val="clear" w:color="auto" w:fill="FFFFFF"/>
            <w:tcMar>
              <w:top w:w="90" w:type="dxa"/>
              <w:left w:w="100" w:type="dxa"/>
              <w:bottom w:w="90" w:type="dxa"/>
              <w:right w:w="100" w:type="dxa"/>
            </w:tcMar>
            <w:vAlign w:val="center"/>
          </w:tcPr>
          <w:p w14:paraId="1EF6BC56">
            <w:pPr>
              <w:snapToGrid w:val="0"/>
              <w:spacing w:before="0" w:after="0" w:line="240" w:lineRule="auto"/>
              <w:ind w:left="0" w:leftChars="0" w:right="0" w:rightChars="0" w:firstLine="0" w:firstLineChars="0"/>
              <w:jc w:val="left"/>
              <w:rPr>
                <w:rFonts w:ascii="Aptos" w:eastAsia="宋体"/>
                <w:sz w:val="17"/>
              </w:rPr>
            </w:pPr>
            <w:r>
              <w:rPr>
                <w:rFonts w:ascii="Aptos" w:eastAsia="宋体"/>
                <w:sz w:val="17"/>
              </w:rPr>
              <w:t>统一接待、收费和查验规则；总部协调后明确门店执行责任，并核查确认结果的交接。</w:t>
            </w:r>
          </w:p>
        </w:tc>
      </w:tr>
      <w:tr w14:paraId="3DEB7E30">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trHeight w:val="0" w:hRule="atLeast"/>
          <w:jc w:val="center"/>
        </w:trPr>
        <w:tc>
          <w:tcPr>
            <w:tcW w:w="1101" w:type="dxa"/>
            <w:shd w:val="clear" w:color="auto" w:fill="FAFAF8"/>
            <w:tcMar>
              <w:top w:w="90" w:type="dxa"/>
              <w:left w:w="100" w:type="dxa"/>
              <w:bottom w:w="90" w:type="dxa"/>
              <w:right w:w="100" w:type="dxa"/>
            </w:tcMar>
            <w:vAlign w:val="center"/>
          </w:tcPr>
          <w:p w14:paraId="10998180">
            <w:pPr>
              <w:snapToGrid w:val="0"/>
              <w:spacing w:before="0" w:after="0" w:line="240" w:lineRule="auto"/>
              <w:ind w:left="0" w:leftChars="0" w:right="0" w:rightChars="0" w:firstLine="0" w:firstLineChars="0"/>
              <w:jc w:val="left"/>
              <w:rPr>
                <w:rFonts w:ascii="Aptos" w:eastAsia="宋体"/>
                <w:sz w:val="17"/>
              </w:rPr>
            </w:pPr>
            <w:r>
              <w:rPr>
                <w:rFonts w:ascii="Aptos" w:eastAsia="宋体"/>
                <w:b/>
                <w:sz w:val="17"/>
              </w:rPr>
              <w:t>酒店门店</w:t>
            </w:r>
          </w:p>
        </w:tc>
        <w:tc>
          <w:tcPr>
            <w:tcW w:w="2393" w:type="dxa"/>
            <w:shd w:val="clear" w:color="auto" w:fill="FAFAF8"/>
            <w:tcMar>
              <w:top w:w="90" w:type="dxa"/>
              <w:left w:w="100" w:type="dxa"/>
              <w:bottom w:w="90" w:type="dxa"/>
              <w:right w:w="100" w:type="dxa"/>
            </w:tcMar>
            <w:vAlign w:val="center"/>
          </w:tcPr>
          <w:p w14:paraId="6C09D3A7">
            <w:pPr>
              <w:snapToGrid w:val="0"/>
              <w:spacing w:before="0" w:after="0" w:line="240" w:lineRule="auto"/>
              <w:ind w:left="0" w:leftChars="0" w:right="0" w:rightChars="0" w:firstLine="0" w:firstLineChars="0"/>
              <w:jc w:val="left"/>
              <w:rPr>
                <w:rFonts w:ascii="Aptos" w:eastAsia="宋体"/>
                <w:sz w:val="17"/>
              </w:rPr>
            </w:pPr>
            <w:r>
              <w:rPr>
                <w:rFonts w:ascii="Aptos" w:eastAsia="宋体"/>
                <w:sz w:val="17"/>
              </w:rPr>
              <w:t>反复来电，材料和费用未说清，到店需重新确认</w:t>
            </w:r>
          </w:p>
        </w:tc>
        <w:tc>
          <w:tcPr>
            <w:tcW w:w="4786" w:type="dxa"/>
            <w:shd w:val="clear" w:color="auto" w:fill="FAFAF8"/>
            <w:tcMar>
              <w:top w:w="90" w:type="dxa"/>
              <w:left w:w="100" w:type="dxa"/>
              <w:bottom w:w="90" w:type="dxa"/>
              <w:right w:w="100" w:type="dxa"/>
            </w:tcMar>
            <w:vAlign w:val="center"/>
          </w:tcPr>
          <w:p w14:paraId="5009AACC">
            <w:pPr>
              <w:snapToGrid w:val="0"/>
              <w:spacing w:before="0" w:after="0" w:line="240" w:lineRule="auto"/>
              <w:ind w:left="0" w:leftChars="0" w:right="0" w:rightChars="0" w:firstLine="0" w:firstLineChars="0"/>
              <w:jc w:val="left"/>
              <w:rPr>
                <w:rFonts w:ascii="Aptos" w:eastAsia="宋体"/>
                <w:sz w:val="17"/>
              </w:rPr>
            </w:pPr>
            <w:r>
              <w:rPr>
                <w:rFonts w:ascii="Aptos" w:eastAsia="宋体"/>
                <w:sz w:val="17"/>
              </w:rPr>
              <w:t>首次接听人联系当班负责人，约时主动回复；一次说明材料和安排，完成预订交接；按住客需要提供引导。</w:t>
            </w:r>
          </w:p>
        </w:tc>
      </w:tr>
      <w:tr w14:paraId="7E8A1028">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trHeight w:val="0" w:hRule="atLeast"/>
          <w:jc w:val="center"/>
        </w:trPr>
        <w:tc>
          <w:tcPr>
            <w:tcW w:w="1101" w:type="dxa"/>
            <w:shd w:val="clear" w:color="auto" w:fill="FFFFFF"/>
            <w:tcMar>
              <w:top w:w="90" w:type="dxa"/>
              <w:left w:w="100" w:type="dxa"/>
              <w:bottom w:w="90" w:type="dxa"/>
              <w:right w:w="100" w:type="dxa"/>
            </w:tcMar>
            <w:vAlign w:val="center"/>
          </w:tcPr>
          <w:p w14:paraId="0E54D46D">
            <w:pPr>
              <w:snapToGrid w:val="0"/>
              <w:spacing w:before="0" w:after="0" w:line="240" w:lineRule="auto"/>
              <w:ind w:left="0" w:leftChars="0" w:right="0" w:rightChars="0" w:firstLine="0" w:firstLineChars="0"/>
              <w:jc w:val="left"/>
              <w:rPr>
                <w:rFonts w:ascii="Aptos" w:eastAsia="宋体"/>
                <w:sz w:val="17"/>
              </w:rPr>
            </w:pPr>
            <w:r>
              <w:rPr>
                <w:rFonts w:ascii="Aptos" w:eastAsia="宋体"/>
                <w:b/>
                <w:sz w:val="17"/>
              </w:rPr>
              <w:t>预订平台</w:t>
            </w:r>
          </w:p>
        </w:tc>
        <w:tc>
          <w:tcPr>
            <w:tcW w:w="2393" w:type="dxa"/>
            <w:shd w:val="clear" w:color="auto" w:fill="FFFFFF"/>
            <w:tcMar>
              <w:top w:w="90" w:type="dxa"/>
              <w:left w:w="100" w:type="dxa"/>
              <w:bottom w:w="90" w:type="dxa"/>
              <w:right w:w="100" w:type="dxa"/>
            </w:tcMar>
            <w:vAlign w:val="center"/>
          </w:tcPr>
          <w:p w14:paraId="67661D08">
            <w:pPr>
              <w:snapToGrid w:val="0"/>
              <w:spacing w:before="0" w:after="0" w:line="240" w:lineRule="auto"/>
              <w:ind w:left="0" w:leftChars="0" w:right="0" w:rightChars="0" w:firstLine="0" w:firstLineChars="0"/>
              <w:jc w:val="left"/>
              <w:rPr>
                <w:rFonts w:ascii="Aptos" w:eastAsia="宋体"/>
                <w:sz w:val="17"/>
              </w:rPr>
            </w:pPr>
            <w:r>
              <w:rPr>
                <w:rFonts w:ascii="Aptos" w:eastAsia="宋体"/>
                <w:sz w:val="17"/>
              </w:rPr>
              <w:t>服务犬与宠物混标，页面和门店口径不一</w:t>
            </w:r>
          </w:p>
        </w:tc>
        <w:tc>
          <w:tcPr>
            <w:tcW w:w="4786" w:type="dxa"/>
            <w:shd w:val="clear" w:color="auto" w:fill="FFFFFF"/>
            <w:tcMar>
              <w:top w:w="90" w:type="dxa"/>
              <w:left w:w="100" w:type="dxa"/>
              <w:bottom w:w="90" w:type="dxa"/>
              <w:right w:w="100" w:type="dxa"/>
            </w:tcMar>
            <w:vAlign w:val="center"/>
          </w:tcPr>
          <w:p w14:paraId="5374A807">
            <w:pPr>
              <w:snapToGrid w:val="0"/>
              <w:spacing w:before="0" w:after="0" w:line="240" w:lineRule="auto"/>
              <w:ind w:left="0" w:leftChars="0" w:right="0" w:rightChars="0" w:firstLine="0" w:firstLineChars="0"/>
              <w:jc w:val="left"/>
              <w:rPr>
                <w:rFonts w:ascii="Aptos" w:eastAsia="宋体"/>
                <w:sz w:val="17"/>
              </w:rPr>
            </w:pPr>
            <w:r>
              <w:rPr>
                <w:rFonts w:ascii="Aptos" w:eastAsia="宋体"/>
                <w:sz w:val="17"/>
              </w:rPr>
              <w:t>单列服务犬信息，同步集团政策；收到差异反馈后核验并更新页面。</w:t>
            </w:r>
          </w:p>
        </w:tc>
      </w:tr>
      <w:tr w14:paraId="2E2CF80E">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trHeight w:val="0" w:hRule="atLeast"/>
          <w:jc w:val="center"/>
        </w:trPr>
        <w:tc>
          <w:tcPr>
            <w:tcW w:w="1101" w:type="dxa"/>
            <w:shd w:val="clear" w:color="auto" w:fill="FAFAF8"/>
            <w:tcMar>
              <w:top w:w="90" w:type="dxa"/>
              <w:left w:w="100" w:type="dxa"/>
              <w:bottom w:w="90" w:type="dxa"/>
              <w:right w:w="100" w:type="dxa"/>
            </w:tcMar>
            <w:vAlign w:val="center"/>
          </w:tcPr>
          <w:p w14:paraId="119AD1CF">
            <w:pPr>
              <w:snapToGrid w:val="0"/>
              <w:spacing w:before="0" w:after="0" w:line="240" w:lineRule="auto"/>
              <w:ind w:left="0" w:leftChars="0" w:right="0" w:rightChars="0" w:firstLine="0" w:firstLineChars="0"/>
              <w:jc w:val="left"/>
              <w:rPr>
                <w:rFonts w:ascii="Aptos" w:eastAsia="宋体"/>
                <w:sz w:val="17"/>
              </w:rPr>
            </w:pPr>
            <w:r>
              <w:rPr>
                <w:rFonts w:ascii="Aptos" w:eastAsia="宋体"/>
                <w:b/>
                <w:sz w:val="17"/>
              </w:rPr>
              <w:t>公共部门</w:t>
            </w:r>
          </w:p>
        </w:tc>
        <w:tc>
          <w:tcPr>
            <w:tcW w:w="2393" w:type="dxa"/>
            <w:shd w:val="clear" w:color="auto" w:fill="FAFAF8"/>
            <w:tcMar>
              <w:top w:w="90" w:type="dxa"/>
              <w:left w:w="100" w:type="dxa"/>
              <w:bottom w:w="90" w:type="dxa"/>
              <w:right w:w="100" w:type="dxa"/>
            </w:tcMar>
            <w:vAlign w:val="center"/>
          </w:tcPr>
          <w:p w14:paraId="7B6FAEAA">
            <w:pPr>
              <w:snapToGrid w:val="0"/>
              <w:spacing w:before="0" w:after="0" w:line="240" w:lineRule="auto"/>
              <w:ind w:left="0" w:leftChars="0" w:right="0" w:rightChars="0" w:firstLine="0" w:firstLineChars="0"/>
              <w:jc w:val="left"/>
              <w:rPr>
                <w:rFonts w:ascii="Aptos" w:eastAsia="宋体"/>
                <w:sz w:val="17"/>
              </w:rPr>
            </w:pPr>
            <w:r>
              <w:rPr>
                <w:rFonts w:ascii="Aptos" w:eastAsia="宋体"/>
                <w:sz w:val="17"/>
              </w:rPr>
              <w:t>操作与执法边界不清</w:t>
            </w:r>
          </w:p>
        </w:tc>
        <w:tc>
          <w:tcPr>
            <w:tcW w:w="4786" w:type="dxa"/>
            <w:shd w:val="clear" w:color="auto" w:fill="FAFAF8"/>
            <w:tcMar>
              <w:top w:w="90" w:type="dxa"/>
              <w:left w:w="100" w:type="dxa"/>
              <w:bottom w:w="90" w:type="dxa"/>
              <w:right w:w="100" w:type="dxa"/>
            </w:tcMar>
            <w:vAlign w:val="center"/>
          </w:tcPr>
          <w:p w14:paraId="068CA001">
            <w:pPr>
              <w:snapToGrid w:val="0"/>
              <w:spacing w:before="0" w:after="0" w:line="240" w:lineRule="auto"/>
              <w:ind w:left="0" w:leftChars="0" w:right="0" w:rightChars="0" w:firstLine="0" w:firstLineChars="0"/>
              <w:jc w:val="left"/>
              <w:rPr>
                <w:rFonts w:ascii="Aptos" w:eastAsia="宋体"/>
                <w:sz w:val="17"/>
              </w:rPr>
            </w:pPr>
            <w:r>
              <w:rPr>
                <w:rFonts w:ascii="Aptos" w:eastAsia="宋体"/>
                <w:sz w:val="17"/>
              </w:rPr>
              <w:t>发布操作指引、典型案例和评价标准。</w:t>
            </w:r>
          </w:p>
        </w:tc>
      </w:tr>
      <w:tr w14:paraId="30E62646">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trHeight w:val="0" w:hRule="atLeast"/>
          <w:jc w:val="center"/>
        </w:trPr>
        <w:tc>
          <w:tcPr>
            <w:tcW w:w="1101" w:type="dxa"/>
            <w:shd w:val="clear" w:color="auto" w:fill="FFFFFF"/>
            <w:tcMar>
              <w:top w:w="90" w:type="dxa"/>
              <w:left w:w="100" w:type="dxa"/>
              <w:bottom w:w="90" w:type="dxa"/>
              <w:right w:w="100" w:type="dxa"/>
            </w:tcMar>
            <w:vAlign w:val="center"/>
          </w:tcPr>
          <w:p w14:paraId="0E34F400">
            <w:pPr>
              <w:snapToGrid w:val="0"/>
              <w:spacing w:before="0" w:after="0" w:line="240" w:lineRule="auto"/>
              <w:ind w:left="0" w:leftChars="0" w:right="0" w:rightChars="0" w:firstLine="0" w:firstLineChars="0"/>
              <w:jc w:val="left"/>
              <w:rPr>
                <w:rFonts w:ascii="Aptos" w:eastAsia="宋体"/>
                <w:sz w:val="17"/>
              </w:rPr>
            </w:pPr>
            <w:r>
              <w:rPr>
                <w:rFonts w:ascii="Aptos" w:eastAsia="宋体"/>
                <w:b/>
                <w:sz w:val="17"/>
              </w:rPr>
              <w:t>公众与行业组织</w:t>
            </w:r>
          </w:p>
        </w:tc>
        <w:tc>
          <w:tcPr>
            <w:tcW w:w="2393" w:type="dxa"/>
            <w:shd w:val="clear" w:color="auto" w:fill="FFFFFF"/>
            <w:tcMar>
              <w:top w:w="90" w:type="dxa"/>
              <w:left w:w="100" w:type="dxa"/>
              <w:bottom w:w="90" w:type="dxa"/>
              <w:right w:w="100" w:type="dxa"/>
            </w:tcMar>
            <w:vAlign w:val="center"/>
          </w:tcPr>
          <w:p w14:paraId="20815F58">
            <w:pPr>
              <w:snapToGrid w:val="0"/>
              <w:spacing w:before="0" w:after="0" w:line="240" w:lineRule="auto"/>
              <w:ind w:left="0" w:leftChars="0" w:right="0" w:rightChars="0" w:firstLine="0" w:firstLineChars="0"/>
              <w:jc w:val="left"/>
              <w:rPr>
                <w:rFonts w:ascii="Aptos" w:eastAsia="宋体"/>
                <w:sz w:val="17"/>
              </w:rPr>
            </w:pPr>
            <w:r>
              <w:rPr>
                <w:rFonts w:ascii="Aptos" w:eastAsia="宋体"/>
                <w:sz w:val="17"/>
              </w:rPr>
              <w:t>认知与共处规则不足</w:t>
            </w:r>
          </w:p>
        </w:tc>
        <w:tc>
          <w:tcPr>
            <w:tcW w:w="4786" w:type="dxa"/>
            <w:shd w:val="clear" w:color="auto" w:fill="FFFFFF"/>
            <w:tcMar>
              <w:top w:w="90" w:type="dxa"/>
              <w:left w:w="100" w:type="dxa"/>
              <w:bottom w:w="90" w:type="dxa"/>
              <w:right w:w="100" w:type="dxa"/>
            </w:tcMar>
            <w:vAlign w:val="center"/>
          </w:tcPr>
          <w:p w14:paraId="1E33876A">
            <w:pPr>
              <w:snapToGrid w:val="0"/>
              <w:spacing w:before="0" w:after="0" w:line="240" w:lineRule="auto"/>
              <w:ind w:left="0" w:leftChars="0" w:right="0" w:rightChars="0" w:firstLine="0" w:firstLineChars="0"/>
              <w:jc w:val="left"/>
              <w:rPr>
                <w:rFonts w:ascii="Aptos" w:eastAsia="宋体"/>
                <w:sz w:val="17"/>
              </w:rPr>
            </w:pPr>
            <w:r>
              <w:rPr>
                <w:rFonts w:ascii="Aptos" w:eastAsia="宋体"/>
                <w:sz w:val="17"/>
              </w:rPr>
              <w:t>开展科普，支持残障者参与评估和服务共创。</w:t>
            </w:r>
          </w:p>
        </w:tc>
      </w:tr>
    </w:tbl>
    <w:p w14:paraId="0857250C">
      <w:pPr>
        <w:pStyle w:val="5"/>
        <w:numPr>
          <w:ilvl w:val="2"/>
          <w:numId w:val="1"/>
        </w:numPr>
      </w:pPr>
      <w:r>
        <w:t>（一）法律依据与适用范围</w:t>
      </w:r>
    </w:p>
    <w:p w14:paraId="1234FA21">
      <w:r>
        <w:t>《中华人民共和国残疾人保障法》第五十八条规定，盲人携带导盲犬出入公共场所应遵守国家有关规定；《无障碍环境建设条例》第十六条进一步要求公共场所工作人员按照国家有关规定提供无障碍服务。</w:t>
      </w:r>
    </w:p>
    <w:p w14:paraId="156C8361">
      <w:r>
        <w:t>《中华人民共和国无障碍环境建设法》第四十六条明确，公共场所经营管理单位应当为残疾人携带导盲犬、导听犬、辅助犬等服务犬提供便利。酒店应据此为住宿和公共空间服务建立可查询、可执行、可监督的接待规则。</w:t>
      </w:r>
    </w:p>
    <w:p w14:paraId="7EF8ED56">
      <w:r>
        <w:t>《中华人民共和国消费者权益保护法》第十四条保障消费者人格尊严，第十六条要求经营者履行法定和约定义务，第二十六条对格式条款中的不公平、不合理安排作出限制。针对导盲犬统一追加押金、清洁费、免责协议或隔离性房型时，应审查是否有具体事实依据，是否适用与普通住客相同的规则，以及是否增加了消费者本不应承担的责任。</w:t>
      </w:r>
    </w:p>
    <w:p w14:paraId="2EB5F8ED">
      <w:pPr>
        <w:pStyle w:val="5"/>
      </w:pPr>
      <w:r>
        <w:t>（二）优先减少拒绝和反复确认</w:t>
      </w:r>
    </w:p>
    <w:p w14:paraId="161B592B">
      <w:r>
        <w:t>调研中，33.5%的有效反馈门店需要2次及以上独立通话；另有40.3%的门店被记录为“沟通后同意”或“沟通后拒绝”。部分门店还需要转接经理、店长或其他管理人员确认。统一规则、明确授权和限时反馈，可以直接减少消费者与前台员工的重复沟通。</w:t>
      </w:r>
    </w:p>
    <w:p w14:paraId="32387B86">
      <w:r>
        <w:t>酒店可以公开已经落实的服务政策、员工培训和抽查结果。对外传播应与官网、平台、客服和门店的实际执行一致，个别门店的接待案例按单店表现呈现。</w:t>
      </w:r>
    </w:p>
    <w:p w14:paraId="3BE7804C">
      <w:pPr>
        <w:pStyle w:val="5"/>
      </w:pPr>
      <w:r>
        <w:t>（三）降低重复沟通和现场不确定性</w:t>
      </w:r>
    </w:p>
    <w:p w14:paraId="0AE45186">
      <w:r>
        <w:t>558家有效反馈门店中，97家最终由经理、主管或店长等管理人员回复。团队成员和社群伙伴的住宿经历还表明，电话中得到同意后，到店仍可能需要重新解释或等待确认。门店应把已经确认的接待答复交接给负责到店办理的员工：确认了哪些事项、由谁确认、有疑问时联系谁，都应能够查询。住客到店后，工作人员据此办理，尚未明确的事项由酒店内部核实。</w:t>
      </w:r>
    </w:p>
    <w:p w14:paraId="7418476F">
      <w:pPr>
        <w:pStyle w:val="4"/>
        <w:numPr>
          <w:ilvl w:val="1"/>
          <w:numId w:val="1"/>
        </w:numPr>
      </w:pPr>
      <w:bookmarkStart w:id="34" w:name="_Toc239432621"/>
      <w:bookmarkStart w:id="35" w:name="_Toc240635843"/>
      <w:bookmarkStart w:id="36" w:name="_Toc238606834"/>
      <w:r>
        <w:rPr>
          <w:rFonts w:ascii="Times New Roman" w:hAnsi="Times New Roman" w:eastAsia="黑体"/>
        </w:rPr>
        <w:t>二 酒店集团总部</w:t>
      </w:r>
      <w:bookmarkEnd w:id="34"/>
      <w:bookmarkEnd w:id="35"/>
      <w:bookmarkEnd w:id="36"/>
    </w:p>
    <w:p w14:paraId="627971A5">
      <w:r>
        <w:t>集团总部负责制定统一规则、向各渠道提供准确信息，并监督客服和门店执行。总部规则模糊或更新不同步时，门店只能临时判断，同一品牌便可能出现不同答复。</w:t>
      </w:r>
    </w:p>
    <w:p w14:paraId="6809BEC0">
      <w:pPr>
        <w:pStyle w:val="5"/>
        <w:numPr>
          <w:ilvl w:val="2"/>
          <w:numId w:val="1"/>
        </w:numPr>
      </w:pPr>
      <w:r>
        <w:t>（一）制定并公开统一的服务犬接待政策</w:t>
      </w:r>
    </w:p>
    <w:p w14:paraId="58E7B699">
      <w:r>
        <w:t>酒店集团应在总部制度中明确导盲犬与普通宠物的区别，建立适用于所有门店的服务犬接待规则，写清预订、入住、证件核验、收费、客诉和异常情况的处理原则。政策应通过官方网站、官方App、客服中心和门店内部系统同步发布。</w:t>
      </w:r>
    </w:p>
    <w:p w14:paraId="4C54E62B">
      <w:r>
        <w:t>集团还应统一价格、押金和房型规则，取消针对导盲犬使用者的额外收费、无依据的免责协议、隔离性房型安排和活动范围限制。门店不得另行设立与总部政策冲突的条件。</w:t>
      </w:r>
    </w:p>
    <w:p w14:paraId="700EF09C">
      <w:pPr>
        <w:pStyle w:val="5"/>
        <w:numPr>
          <w:ilvl w:val="2"/>
          <w:numId w:val="1"/>
        </w:numPr>
      </w:pPr>
      <w:r>
        <w:t>（二）把规则传到客服和门店</w:t>
      </w:r>
    </w:p>
    <w:p w14:paraId="08318D95">
      <w:r>
        <w:t>集团应开发简明、可检索的培训材料，纳入入职培训和定期复训。内容至少包括导盲犬的法律地位和工作犬属性、常见接待问题、前台处理流程、与视障旅客沟通的基本礼仪，以及客诉和异常情况的上报处理流程。</w:t>
      </w:r>
    </w:p>
    <w:p w14:paraId="701138CF">
      <w:r>
        <w:t>客服知识库、门店操作手册和培训材料应使用同一版本。规则更新时，应明确生效日期、适用门店和旧版本停止使用的时间，确保官网、客服和门店同步更新。</w:t>
      </w:r>
    </w:p>
    <w:p w14:paraId="5FBD596E">
      <w:pPr>
        <w:pStyle w:val="5"/>
        <w:numPr>
          <w:ilvl w:val="2"/>
          <w:numId w:val="1"/>
        </w:numPr>
      </w:pPr>
      <w:r>
        <w:t>（三）建立监督申诉和纠错机制</w:t>
      </w:r>
    </w:p>
    <w:p w14:paraId="7E1CB117">
      <w:r>
        <w:t>集团可通过定期抽查</w:t>
      </w:r>
      <w:r>
        <w:rPr>
          <w:rFonts w:hint="eastAsia"/>
          <w:lang w:eastAsia="zh-CN"/>
        </w:rPr>
        <w:t>，</w:t>
      </w:r>
      <w:r>
        <w:t>客户反馈检查门店执行情况。客服中心应统一受理并协调门店拒绝服务犬入住的投诉，不应再次要求消费者自行与门店协商。对于依法接待导盲犬却受到不合理客诉并被内部追责的门店或员工，应提供复核和申诉渠道。</w:t>
      </w:r>
    </w:p>
    <w:p w14:paraId="2DC2C148">
      <w:pPr>
        <w:pStyle w:val="5"/>
        <w:numPr>
          <w:ilvl w:val="2"/>
          <w:numId w:val="1"/>
        </w:numPr>
      </w:pPr>
      <w:r>
        <w:t>（四）公开可核验的改进结果</w:t>
      </w:r>
    </w:p>
    <w:p w14:paraId="237DBFCC">
      <w:r>
        <w:t>集团完成规则发布、人员培训和门店抽查后，可以对外说明服务承诺、适用范围和查验要求。传播内容应以可核验政策和持续抽查结果为依据，不应把履行法定义务描述为只向少数顾客提供的额外优待。</w:t>
      </w:r>
    </w:p>
    <w:p w14:paraId="2A33CA61">
      <w:pPr>
        <w:rPr>
          <w:b w:val="0"/>
          <w:bCs/>
        </w:rPr>
      </w:pPr>
      <w:r>
        <w:rPr>
          <w:b w:val="0"/>
          <w:bCs/>
        </w:rPr>
        <w:t>检查标准：官网、官方App、客服知识库和门店手册使用同一规则；抽查门店能够直接查到政策；投诉有统一受理、转办和复核记录。</w:t>
      </w:r>
    </w:p>
    <w:p w14:paraId="1FE7B9D7">
      <w:pPr>
        <w:pStyle w:val="4"/>
        <w:numPr>
          <w:ilvl w:val="1"/>
          <w:numId w:val="1"/>
        </w:numPr>
      </w:pPr>
      <w:bookmarkStart w:id="37" w:name="_Toc238606835"/>
      <w:bookmarkStart w:id="38" w:name="_Toc240635844"/>
      <w:bookmarkStart w:id="39" w:name="_Toc239432622"/>
      <w:r>
        <w:rPr>
          <w:rFonts w:ascii="Times New Roman" w:hAnsi="Times New Roman" w:eastAsia="黑体"/>
        </w:rPr>
        <w:t>三 酒店门店</w:t>
      </w:r>
      <w:bookmarkEnd w:id="37"/>
      <w:bookmarkEnd w:id="38"/>
      <w:bookmarkEnd w:id="39"/>
    </w:p>
    <w:p w14:paraId="17D13557">
      <w:r>
        <w:t>酒店门店直接面对消费者，重点是首次答复、内部上报处理、入住引导和现场协调。门店不需要自行解释全部法律问题，但必须知道到哪里查规则、由谁作出决定，以及如何把结果反馈给消费者。</w:t>
      </w:r>
    </w:p>
    <w:p w14:paraId="4FF801FA">
      <w:pPr>
        <w:pStyle w:val="5"/>
        <w:numPr>
          <w:ilvl w:val="2"/>
          <w:numId w:val="1"/>
        </w:numPr>
      </w:pPr>
      <w:r>
        <w:t>（一）实行首次接听负责和限时确认</w:t>
      </w:r>
    </w:p>
    <w:p w14:paraId="7870B693">
      <w:r>
        <w:t>门店应把导盲犬入住咨询纳入前台标准流程。能够当场确认的，直接说明接待政策、必要查验材料及收费和房间安排；无法当场确认的，由首次接听员工联系当班负责人，与咨询者约定反馈时间并主动回复。答复应把已确认和仍需核实的事项说清，避免只给出可以入住的结论，却把证件、费用等问题留到下一次电话。住客确定预订后，将必要的接待信息纳入内部交接，让实际接待人员能够查到。</w:t>
      </w:r>
    </w:p>
    <w:p w14:paraId="17190EAE">
      <w:pPr>
        <w:pStyle w:val="5"/>
        <w:numPr>
          <w:ilvl w:val="2"/>
          <w:numId w:val="1"/>
        </w:numPr>
      </w:pPr>
      <w:r>
        <w:t>（二）明确当班负责联系人</w:t>
      </w:r>
    </w:p>
    <w:p w14:paraId="3754E4A1">
      <w:r>
        <w:t>每个运营时段都应有清楚的上报处理流程。值班经理、店长或集团客服可以承担最终确认责任，可由现有岗位承担，无需另设专岗。排班和通讯录应标明当班联系人，前台能够在需要时及时联系。</w:t>
      </w:r>
    </w:p>
    <w:p w14:paraId="4ED3CFE6">
      <w:pPr>
        <w:pStyle w:val="5"/>
        <w:numPr>
          <w:ilvl w:val="2"/>
          <w:numId w:val="1"/>
        </w:numPr>
      </w:pPr>
      <w:r>
        <w:t>（三）提供按需且不过度的合理便利</w:t>
      </w:r>
    </w:p>
    <w:p w14:paraId="2EDB9B79">
      <w:r>
        <w:t>办理入住时，工作人员可以询问住客是否需要介绍前台到电梯的方向、客房布局、空调开关和卫生间设施，或是否需要一次性引导。服务应以住客表达的需求为准，不预设视障者无法独立行动，也不把普通宠物用品作为导盲犬入住的默认配置。</w:t>
      </w:r>
    </w:p>
    <w:p w14:paraId="39E84088">
      <w:r>
        <w:t>门店如设有适合导盲犬短时活动或排泄的安全区域，可以在使用者需要时告知位置。合理便利不应附加额外收费，也不应成为限制导盲犬进入酒店公共空间的替代安排。</w:t>
      </w:r>
    </w:p>
    <w:p w14:paraId="1E007780">
      <w:pPr>
        <w:pStyle w:val="5"/>
        <w:numPr>
          <w:ilvl w:val="2"/>
          <w:numId w:val="1"/>
        </w:numPr>
      </w:pPr>
      <w:r>
        <w:t>（四）处理其他住客需求时优先调整环境</w:t>
      </w:r>
    </w:p>
    <w:p w14:paraId="12F53807">
      <w:r>
        <w:t>其他住客表示恐惧、存在过敏情况或提出其他实际需求时，门店应根据双方情况调整座位、房间、楼层或动线，不应直接要求视障者及导盲犬退出依法可以使用的公共空间。工作人员应负责解释服务犬的工作属性和共处原则，不把说明责任交给导盲犬使用者。</w:t>
      </w:r>
    </w:p>
    <w:p w14:paraId="647325CE">
      <w:pPr>
        <w:pStyle w:val="5"/>
        <w:numPr>
          <w:ilvl w:val="2"/>
          <w:numId w:val="1"/>
        </w:numPr>
      </w:pPr>
      <w:r>
        <w:t>（五）减少个人信息留存和暴露</w:t>
      </w:r>
    </w:p>
    <w:p w14:paraId="307E31B2">
      <w:r>
        <w:t>入口、前台或公共区域可以设置简明的服务犬接待提示，但不应在客房门口或楼层公开住客房号和残障信息。证件信息仅按适用规定用于本次核验，不得允许无关人员查看，也不应在后台添加与服务无关的特殊标签；确需留存时，应说明用途、期限并取得必要授权。</w:t>
      </w:r>
    </w:p>
    <w:p w14:paraId="744535AE">
      <w:pPr>
        <w:rPr>
          <w:b w:val="0"/>
          <w:bCs/>
        </w:rPr>
      </w:pPr>
      <w:r>
        <w:rPr>
          <w:b w:val="0"/>
          <w:bCs/>
        </w:rPr>
        <w:t>检查标准：前台知道查询路径和当班联系人；无法当场确认时由门店回访；不额外收费、不设置无依据限制；引导和信息说明由住客按需选择。</w:t>
      </w:r>
    </w:p>
    <w:p w14:paraId="1E294102">
      <w:pPr>
        <w:pStyle w:val="4"/>
        <w:numPr>
          <w:ilvl w:val="1"/>
          <w:numId w:val="1"/>
        </w:numPr>
      </w:pPr>
      <w:bookmarkStart w:id="40" w:name="_Toc239432623"/>
      <w:bookmarkStart w:id="41" w:name="_Toc238606836"/>
      <w:bookmarkStart w:id="42" w:name="_Toc240635845"/>
      <w:r>
        <w:rPr>
          <w:rFonts w:ascii="Times New Roman" w:hAnsi="Times New Roman" w:eastAsia="黑体"/>
        </w:rPr>
        <w:t>四 预订平台</w:t>
      </w:r>
      <w:bookmarkEnd w:id="40"/>
      <w:bookmarkEnd w:id="41"/>
      <w:bookmarkEnd w:id="42"/>
    </w:p>
    <w:p w14:paraId="2FAFB9AD">
      <w:r>
        <w:t>预订平台是消费者在致电门店前获取信息的主要渠道。服务犬信息缺失、与宠物政策混在一起，以及集团和门店页面相互矛盾，是当前平台环节的主要问题。</w:t>
      </w:r>
    </w:p>
    <w:p w14:paraId="0372F46C">
      <w:pPr>
        <w:pStyle w:val="5"/>
        <w:numPr>
          <w:ilvl w:val="2"/>
          <w:numId w:val="1"/>
        </w:numPr>
      </w:pPr>
      <w:r>
        <w:t>（一）将服务犬与普通宠物分开标注</w:t>
      </w:r>
    </w:p>
    <w:p w14:paraId="6C178D27">
      <w:r>
        <w:t>平台应在宠物政策之外设置独立的服务犬信息字段，明确酒店是否接待导盲犬等依法应当提供便利的服务犬、是否需要提前联系，以及核验要求来自哪个政策主体。页面应给出消费者可以据此判断的明确信息，删除“政策不详”“以门店为准”等笼统表述。</w:t>
      </w:r>
    </w:p>
    <w:p w14:paraId="5E8EFAAA">
      <w:pPr>
        <w:pStyle w:val="5"/>
        <w:numPr>
          <w:ilvl w:val="2"/>
          <w:numId w:val="1"/>
        </w:numPr>
      </w:pPr>
      <w:r>
        <w:t>（二）建立集团政策同步和冲突校验</w:t>
      </w:r>
    </w:p>
    <w:p w14:paraId="2E33425F">
      <w:r>
        <w:t>酒店集团更新政策后，应向平台提供统一、结构化的信息；平台应记录更新时间和适用范围。当集团政策、品牌页面和门店页面出现冲突时，平台应提示酒店核对，并在确认前向消费者说明信息状态。</w:t>
      </w:r>
    </w:p>
    <w:p w14:paraId="7F85FE97">
      <w:pPr>
        <w:pStyle w:val="5"/>
        <w:numPr>
          <w:ilvl w:val="2"/>
          <w:numId w:val="1"/>
        </w:numPr>
      </w:pPr>
      <w:r>
        <w:t>（三）提供查询筛选和错误反馈入口</w:t>
      </w:r>
    </w:p>
    <w:p w14:paraId="5284DD04">
      <w:r>
        <w:t>平台可以提供服务犬政策的查询或筛选功能，并设置明显的错误信息反馈入口。消费者反映页面标注与门店答复不一致时，平台应记录问题、通知酒店核验并更新结果。</w:t>
      </w:r>
    </w:p>
    <w:p w14:paraId="4E1FCD86">
      <w:pPr>
        <w:rPr>
          <w:b w:val="0"/>
          <w:bCs/>
        </w:rPr>
      </w:pPr>
      <w:r>
        <w:rPr>
          <w:b w:val="0"/>
          <w:bCs/>
        </w:rPr>
        <w:t>检查标准：服务犬信息设置独立字段；集团、品牌和门店页面能够追溯同一政策来源；错误反馈有处理状态和更新时间。</w:t>
      </w:r>
    </w:p>
    <w:p w14:paraId="351C7D2D">
      <w:pPr>
        <w:pStyle w:val="4"/>
        <w:numPr>
          <w:ilvl w:val="1"/>
          <w:numId w:val="1"/>
        </w:numPr>
      </w:pPr>
      <w:bookmarkStart w:id="43" w:name="_Toc238606837"/>
      <w:bookmarkStart w:id="44" w:name="_Toc239432624"/>
      <w:bookmarkStart w:id="45" w:name="_Toc240635846"/>
      <w:r>
        <w:rPr>
          <w:rFonts w:ascii="Times New Roman" w:hAnsi="Times New Roman" w:eastAsia="黑体"/>
        </w:rPr>
        <w:t>五 公共部门</w:t>
      </w:r>
      <w:bookmarkEnd w:id="43"/>
      <w:bookmarkEnd w:id="44"/>
      <w:bookmarkEnd w:id="45"/>
    </w:p>
    <w:p w14:paraId="20FAE59E">
      <w:r>
        <w:t>导盲犬入住酒店的权利已有法律依据，但“提供便利”在收费、查验、客诉和现场调整中的适用边界仍需要更明确的操作指引。市场监管、文化和旅游、残联及其他相关部门可以从执法、行业标准和投诉处理三个方面推进。</w:t>
      </w:r>
    </w:p>
    <w:p w14:paraId="54478FB3">
      <w:pPr>
        <w:pStyle w:val="5"/>
        <w:numPr>
          <w:ilvl w:val="2"/>
          <w:numId w:val="1"/>
        </w:numPr>
      </w:pPr>
      <w:r>
        <w:t>（一）细化执法指引并发布典型案例</w:t>
      </w:r>
    </w:p>
    <w:p w14:paraId="5860B3CC">
      <w:r>
        <w:t>相关主管部门可就《无障碍环境建设法》第四十六条中“提供便利”的具体内涵出台操作性指引，说明拒绝导盲犬入住、附加押金或清洁费、以客诉为由限制服务等情形的判断因素。定期发布行政执法典型案例，可以帮助酒店理解法律适用边界。</w:t>
      </w:r>
    </w:p>
    <w:p w14:paraId="10DE76EC">
      <w:pPr>
        <w:pStyle w:val="5"/>
        <w:numPr>
          <w:ilvl w:val="2"/>
          <w:numId w:val="1"/>
        </w:numPr>
      </w:pPr>
      <w:r>
        <w:t>（二）将无障碍接待纳入监管和行业评价</w:t>
      </w:r>
    </w:p>
    <w:p w14:paraId="4184FF18">
      <w:r>
        <w:t>可将酒店对导盲犬等服务犬的接待情况纳入行业检查、消费者权益保护评价或相关服务质量评价。接到投诉后，主管部门应按职责协调、调查或督促整改；对多次发生且拒不改正的违法行为，依法处理。</w:t>
      </w:r>
    </w:p>
    <w:p w14:paraId="263B20E0">
      <w:pPr>
        <w:pStyle w:val="5"/>
        <w:numPr>
          <w:ilvl w:val="2"/>
          <w:numId w:val="1"/>
        </w:numPr>
      </w:pPr>
      <w:r>
        <w:t>（三）支持残障社群参与政策评估</w:t>
      </w:r>
    </w:p>
    <w:p w14:paraId="4568ED18">
      <w:r>
        <w:t>制定指引、培训材料和评价标准时，可以邀请视障者、导盲犬使用者、残障组织、酒店从业人员和平台企业共同参与。参与不应停留在意见征集，还应包括试用、复核和发布后的效果评估。</w:t>
      </w:r>
    </w:p>
    <w:p w14:paraId="655C82A4">
      <w:pPr>
        <w:rPr>
          <w:b w:val="0"/>
          <w:bCs/>
        </w:rPr>
      </w:pPr>
      <w:r>
        <w:rPr>
          <w:b w:val="0"/>
          <w:bCs/>
        </w:rPr>
        <w:t>检查标准：指引明确常见争议的判断因素；投诉有受理和处理路径；行业评价能够区分拒绝、附带条件和信息错误；残障者参与试用与复核。</w:t>
      </w:r>
    </w:p>
    <w:p w14:paraId="290CAE03">
      <w:pPr>
        <w:pStyle w:val="4"/>
        <w:numPr>
          <w:ilvl w:val="1"/>
          <w:numId w:val="1"/>
        </w:numPr>
      </w:pPr>
      <w:bookmarkStart w:id="46" w:name="_Toc239432625"/>
      <w:bookmarkStart w:id="47" w:name="_Toc238606838"/>
      <w:bookmarkStart w:id="48" w:name="_Toc240635847"/>
      <w:r>
        <w:rPr>
          <w:rFonts w:ascii="Times New Roman" w:hAnsi="Times New Roman" w:eastAsia="黑体"/>
        </w:rPr>
        <w:t>六 公众与行业组织</w:t>
      </w:r>
      <w:bookmarkEnd w:id="46"/>
      <w:bookmarkEnd w:id="47"/>
      <w:bookmarkEnd w:id="48"/>
    </w:p>
    <w:p w14:paraId="667C7A29">
      <w:r>
        <w:t>公众认知会影响酒店处理客诉和共处需求，行业组织则可以帮助不同集团形成较一致的规则和培训材料。两类主体的任务不同：公众遵守与工作犬相处的基本原则，行业组织负责传播准确信息并推动共同标准。</w:t>
      </w:r>
    </w:p>
    <w:p w14:paraId="50676543">
      <w:pPr>
        <w:pStyle w:val="5"/>
        <w:numPr>
          <w:ilvl w:val="2"/>
          <w:numId w:val="1"/>
        </w:numPr>
      </w:pPr>
      <w:r>
        <w:t>（一）了解导盲犬的工作属性 尊重使用者的平等使用权</w:t>
      </w:r>
    </w:p>
    <w:p w14:paraId="29A4AA89">
      <w:r>
        <w:t>导盲犬经过选育、社会化、专业训练，以及与使用者共同进行的训练，用于协助视障者安全出行。公众在酒店、商场、餐厅、交通场站等公共空间遇到佩戴导盲鞍的导盲犬时，应把它识别为正在工作的服务犬，而不是普通宠物。</w:t>
      </w:r>
    </w:p>
    <w:p w14:paraId="2D2F1287">
      <w:r>
        <w:t>训练使导盲犬的行为更稳定、可预期，但服务流程不应建立在“零风险”或“绝不发生意外”的承诺上。酒店应根据实际行为和具体需求处理卫生、安全与环境问题，适用与其他住客一致、基于事实的管理规则。</w:t>
      </w:r>
    </w:p>
    <w:p w14:paraId="01E686D6">
      <w:r>
        <w:t>未获得使用者同意时，不应抚摸、喂食、呼唤、逗弄或故意接近导盲犬，也不应牵拉导盲犬、阻挡其行进路线或干扰其工作。存在恐惧、过敏或其他实际需求时，可以向酒店提出环境调整请求，但不应要求酒店驱赶、限制或区别对待视障者及其导盲犬。</w:t>
      </w:r>
    </w:p>
    <w:p w14:paraId="03CF5F4A">
      <w:pPr>
        <w:pStyle w:val="5"/>
        <w:numPr>
          <w:ilvl w:val="2"/>
          <w:numId w:val="1"/>
        </w:numPr>
      </w:pPr>
      <w:r>
        <w:t>（二）行业组织提供示范文本并组织共同评估</w:t>
      </w:r>
    </w:p>
    <w:p w14:paraId="45875F6B">
      <w:r>
        <w:t>酒店和旅游行业组织可以汇总法律要求、门店经验和残障者反馈，形成服务犬接待示范文本、培训要点和客诉处理原则，供不同规模的酒店采用。示范文本标明适用范围和更新日期，倡议性内容与法律要求分开标注。</w:t>
      </w:r>
    </w:p>
    <w:p w14:paraId="75646BEB">
      <w:r>
        <w:t>行业评估应邀请导盲犬使用者和残障组织参与，公开评价方法、样本边界和整改进展。科普、培训和传播使用同一套基本术语，可以减少公众、平台和酒店之间的概念混淆。</w:t>
      </w:r>
    </w:p>
    <w:p w14:paraId="288D020B">
      <w:pPr>
        <w:rPr>
          <w:b w:val="0"/>
          <w:bCs/>
        </w:rPr>
      </w:pPr>
      <w:r>
        <w:rPr>
          <w:b w:val="0"/>
          <w:bCs/>
        </w:rPr>
        <w:t>检查标准：公众科普说明工作犬属性和相处原则；行业材料注明来源、适用范围和更新时间；残障者参与制定、试用和复核。</w:t>
      </w:r>
    </w:p>
    <w:p w14:paraId="5086186B">
      <w:r>
        <w:rPr>
          <w:rFonts w:hint="eastAsia"/>
          <w:lang w:eastAsia="zh-CN"/>
        </w:rPr>
        <w:t>对使用者而言，可以感受到的改进是：预订时能够查到接待信息，提出需求后有人负责确认，到店后不必从头解释，确有需要时能够获得合适的引导。酒店应把规则查询、岗位交接和客诉协调纳入日常工作，让携带导盲犬的住客也能按普通住宿流程安排自己的行程。</w:t>
      </w:r>
    </w:p>
    <w:p w14:paraId="44943A96">
      <w:pPr>
        <w:pStyle w:val="3"/>
        <w:pageBreakBefore/>
        <w:numPr>
          <w:ilvl w:val="1"/>
          <w:numId w:val="1"/>
        </w:numPr>
      </w:pPr>
      <w:commentRangeStart w:id="2"/>
      <w:bookmarkStart w:id="49" w:name="_Toc240635848"/>
      <w:bookmarkStart w:id="50" w:name="_Toc239432626"/>
      <w:bookmarkStart w:id="51" w:name="_Toc238606842"/>
      <w:r>
        <w:t>附录</w:t>
      </w:r>
      <w:bookmarkEnd w:id="49"/>
      <w:bookmarkEnd w:id="50"/>
      <w:commentRangeEnd w:id="2"/>
      <w:r>
        <w:rPr>
          <w:rStyle w:val="141"/>
          <w:sz w:val="36"/>
          <w:szCs w:val="28"/>
        </w:rPr>
        <w:commentReference w:id="2"/>
      </w:r>
    </w:p>
    <w:p w14:paraId="05985720">
      <w:pPr>
        <w:pStyle w:val="4"/>
      </w:pPr>
      <w:bookmarkStart w:id="52" w:name="_Toc240635849"/>
      <w:r>
        <w:t>一 研究方法</w:t>
      </w:r>
      <w:bookmarkEnd w:id="52"/>
    </w:p>
    <w:p w14:paraId="405316CE">
      <w:r>
        <w:t>各品牌样本为47—60家，各城市样本为15—20家。样本按照城市条件和平台排序筛选，未采用概率随机抽样；两个调研阶段覆盖不同城市，期间的社会情境也有变化。</w:t>
      </w:r>
    </w:p>
    <w:p w14:paraId="4E9EAECF">
      <w:r>
        <w:t>调查记录调研期间样本门店的电话答复和处理过程。比例、排行和原因分析均对应调研样本，解释结果时需同时考虑各组样本量、调研时间和编码规则。</w:t>
      </w:r>
    </w:p>
    <w:p w14:paraId="38A50A19">
      <w:pPr>
        <w:pStyle w:val="5"/>
      </w:pPr>
      <w:bookmarkStart w:id="53" w:name="_Toc239432615"/>
      <w:r>
        <w:t>（一）调查对象与样本范围</w:t>
      </w:r>
      <w:bookmarkEnd w:id="53"/>
    </w:p>
    <w:p w14:paraId="2E814530">
      <w:r>
        <w:t>研究团队在2023年11月至2024年1月、2025年6月两个阶段，对30座城市、10个经济型连锁酒店品牌开展电话咨询。原始表包含558家有效反馈门店和782次独立通话记录。</w:t>
      </w:r>
    </w:p>
    <w:p w14:paraId="30480FB1">
      <w:r>
        <w:t>城市候选范围参考“全国文明城市”名单，并结合地理分布、人口规模、商业活跃度、旅游安全和区域覆盖选取30座城市。城市依据这些条件筛选，未采用概率随机抽样。品牌选择参考《2022中国酒店集团及品牌发展报告》中的市场占有率。</w:t>
      </w:r>
    </w:p>
    <w:p w14:paraId="578EB731">
      <w:r>
        <w:t>经济型连锁酒店价格相对亲民、门店覆盖广，更贴近视障者跨城住宿的实际需要；门店数量多、管理层级较长，也适合观察集团政策如何通过平台、客服等渠道传达，以及如何在门店执行。</w:t>
      </w:r>
    </w:p>
    <w:p w14:paraId="1916ADFE">
      <w:pPr>
        <w:keepNext/>
        <w:spacing w:after="40"/>
        <w:jc w:val="center"/>
      </w:pPr>
      <w:r>
        <w:drawing>
          <wp:inline distT="0" distB="0" distL="0" distR="0">
            <wp:extent cx="5029200" cy="3576320"/>
            <wp:effectExtent l="0" t="0" r="0" b="0"/>
            <wp:docPr id="27" name="Picture 27" descr="按市场占有率从高到低排列的横向条形图：维也纳7.11%、汉庭5.81%、如家3.88%、格林豪泰3.79%、全季3.53%、7天3.49%、锦江之星2.43%、城市便捷2.17%、尚客优选1.92%、麗枫1.90%。" title="按市场占有率从高到低排列的横向条形图：维也纳7.11%、汉庭5.81%、如家3.88%、格林豪泰3.79%、全季3.53%、7天3.49%、锦江之星2.43%、城市便捷2.17%、尚客优选1.92%、麗枫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按市场占有率从高到低排列的横向条形图：维也纳7.11%、汉庭5.81%、如家3.88%、格林豪泰3.79%、全季3.53%、7天3.49%、锦江之星2.43%、城市便捷2.17%、尚客优选1.92%、麗枫1.90%。" title="按市场占有率从高到低排列的横向条形图：维也纳7.11%、汉庭5.81%、如家3.88%、格林豪泰3.79%、全季3.53%、7天3.49%、锦江之星2.43%、城市便捷2.17%、尚客优选1.92%、麗枫1.90%。"/>
                    <pic:cNvPicPr>
                      <a:picLocks noChangeAspect="1"/>
                    </pic:cNvPicPr>
                  </pic:nvPicPr>
                  <pic:blipFill>
                    <a:blip r:embed="rId19"/>
                    <a:stretch>
                      <a:fillRect/>
                    </a:stretch>
                  </pic:blipFill>
                  <pic:spPr>
                    <a:xfrm>
                      <a:off x="0" y="0"/>
                      <a:ext cx="5029200" cy="3576320"/>
                    </a:xfrm>
                    <a:prstGeom prst="rect">
                      <a:avLst/>
                    </a:prstGeom>
                  </pic:spPr>
                </pic:pic>
              </a:graphicData>
            </a:graphic>
          </wp:inline>
        </w:drawing>
      </w:r>
    </w:p>
    <w:p w14:paraId="161D9EED">
      <w:pPr>
        <w:pStyle w:val="173"/>
      </w:pPr>
      <w:r>
        <w:t>图11　2022年入选酒店品牌市场占有率（n=10个品牌）</w:t>
      </w:r>
    </w:p>
    <w:p w14:paraId="09669FAD">
      <w:r>
        <w:t>门店选择参考携程旅行平台的“欢迎度排序”，原则上覆盖各城市目标品牌中排名前两位的门店；特定品牌不足两家时按实际存量纳入。品牌样本量为47—60家，城市样本量为15—20家。</w:t>
      </w:r>
    </w:p>
    <w:p w14:paraId="41085E74">
      <w:pPr>
        <w:pStyle w:val="173"/>
      </w:pPr>
      <w:r>
        <w:t>表3　调研样本与电话沟通口径</w:t>
      </w:r>
    </w:p>
    <w:tbl>
      <w:tblPr>
        <w:tblStyle w:val="38"/>
        <w:tblW w:w="0" w:type="auto"/>
        <w:jc w:val="center"/>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Layout w:type="fixed"/>
        <w:tblCellMar>
          <w:top w:w="0" w:type="dxa"/>
          <w:left w:w="108" w:type="dxa"/>
          <w:bottom w:w="0" w:type="dxa"/>
          <w:right w:w="108" w:type="dxa"/>
        </w:tblCellMar>
      </w:tblPr>
      <w:tblGrid>
        <w:gridCol w:w="1814"/>
        <w:gridCol w:w="2835"/>
        <w:gridCol w:w="3969"/>
      </w:tblGrid>
      <w:tr w14:paraId="452D1B7A">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tblHeader/>
          <w:jc w:val="center"/>
        </w:trPr>
        <w:tc>
          <w:tcPr>
            <w:tcW w:w="1814" w:type="dxa"/>
            <w:shd w:val="clear" w:color="auto" w:fill="DDE6F0"/>
            <w:vAlign w:val="center"/>
          </w:tcPr>
          <w:p w14:paraId="791C613A">
            <w:pPr>
              <w:keepNext/>
              <w:spacing w:after="0"/>
              <w:jc w:val="center"/>
            </w:pPr>
            <w:r>
              <w:rPr>
                <w:rFonts w:ascii="微软雅黑" w:hAnsi="微软雅黑" w:eastAsia="微软雅黑"/>
                <w:b/>
                <w:color w:val="263238"/>
                <w:sz w:val="16"/>
              </w:rPr>
              <w:t>项目</w:t>
            </w:r>
          </w:p>
        </w:tc>
        <w:tc>
          <w:tcPr>
            <w:tcW w:w="2835" w:type="dxa"/>
            <w:shd w:val="clear" w:color="auto" w:fill="DDE6F0"/>
            <w:vAlign w:val="center"/>
          </w:tcPr>
          <w:p w14:paraId="50CAED26">
            <w:pPr>
              <w:keepNext/>
              <w:spacing w:after="0"/>
              <w:jc w:val="center"/>
            </w:pPr>
            <w:r>
              <w:rPr>
                <w:rFonts w:ascii="微软雅黑" w:hAnsi="微软雅黑" w:eastAsia="微软雅黑"/>
                <w:b/>
                <w:color w:val="263238"/>
                <w:sz w:val="16"/>
              </w:rPr>
              <w:t>数量或范围</w:t>
            </w:r>
          </w:p>
        </w:tc>
        <w:tc>
          <w:tcPr>
            <w:tcW w:w="3969" w:type="dxa"/>
            <w:shd w:val="clear" w:color="auto" w:fill="DDE6F0"/>
            <w:vAlign w:val="center"/>
          </w:tcPr>
          <w:p w14:paraId="13F8A70B">
            <w:pPr>
              <w:keepNext/>
              <w:spacing w:after="0"/>
              <w:jc w:val="center"/>
            </w:pPr>
            <w:r>
              <w:rPr>
                <w:rFonts w:ascii="微软雅黑" w:hAnsi="微软雅黑" w:eastAsia="微软雅黑"/>
                <w:b/>
                <w:color w:val="263238"/>
                <w:sz w:val="16"/>
              </w:rPr>
              <w:t>统计用途</w:t>
            </w:r>
          </w:p>
        </w:tc>
      </w:tr>
      <w:tr w14:paraId="4D63EAC4">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814" w:type="dxa"/>
            <w:vAlign w:val="center"/>
          </w:tcPr>
          <w:p w14:paraId="6E83DFEC">
            <w:pPr>
              <w:spacing w:after="0"/>
              <w:jc w:val="center"/>
            </w:pPr>
            <w:r>
              <w:rPr>
                <w:rFonts w:ascii="微软雅黑" w:hAnsi="微软雅黑" w:eastAsia="微软雅黑"/>
                <w:color w:val="263238"/>
                <w:sz w:val="16"/>
              </w:rPr>
              <w:t>研究范围</w:t>
            </w:r>
          </w:p>
        </w:tc>
        <w:tc>
          <w:tcPr>
            <w:tcW w:w="2835" w:type="dxa"/>
            <w:vAlign w:val="center"/>
          </w:tcPr>
          <w:p w14:paraId="5432614F">
            <w:pPr>
              <w:spacing w:after="0"/>
              <w:jc w:val="center"/>
            </w:pPr>
            <w:r>
              <w:rPr>
                <w:rFonts w:ascii="微软雅黑" w:hAnsi="微软雅黑" w:eastAsia="微软雅黑"/>
                <w:color w:val="263238"/>
                <w:sz w:val="16"/>
              </w:rPr>
              <w:t>30座城市；10个品牌</w:t>
            </w:r>
          </w:p>
        </w:tc>
        <w:tc>
          <w:tcPr>
            <w:tcW w:w="3969" w:type="dxa"/>
            <w:vAlign w:val="center"/>
          </w:tcPr>
          <w:p w14:paraId="2BCC0837">
            <w:r>
              <w:t>用于城市与品牌分组比较，分项均标注样本门店数n</w:t>
            </w:r>
          </w:p>
        </w:tc>
      </w:tr>
      <w:tr w14:paraId="57994074">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814" w:type="dxa"/>
            <w:vAlign w:val="center"/>
          </w:tcPr>
          <w:p w14:paraId="0D32314E">
            <w:pPr>
              <w:spacing w:after="0"/>
              <w:jc w:val="center"/>
            </w:pPr>
            <w:r>
              <w:rPr>
                <w:rFonts w:ascii="微软雅黑" w:hAnsi="微软雅黑" w:eastAsia="微软雅黑"/>
                <w:color w:val="263238"/>
                <w:sz w:val="16"/>
              </w:rPr>
              <w:t>有效记录</w:t>
            </w:r>
          </w:p>
        </w:tc>
        <w:tc>
          <w:tcPr>
            <w:tcW w:w="2835" w:type="dxa"/>
            <w:vAlign w:val="center"/>
          </w:tcPr>
          <w:p w14:paraId="599A377B">
            <w:pPr>
              <w:spacing w:after="0"/>
              <w:jc w:val="center"/>
            </w:pPr>
            <w:r>
              <w:rPr>
                <w:rFonts w:ascii="微软雅黑" w:hAnsi="微软雅黑" w:eastAsia="微软雅黑"/>
                <w:color w:val="263238"/>
                <w:sz w:val="16"/>
              </w:rPr>
              <w:t>558家门店；782次独立通话</w:t>
            </w:r>
          </w:p>
        </w:tc>
        <w:tc>
          <w:tcPr>
            <w:tcW w:w="3969" w:type="dxa"/>
            <w:vAlign w:val="center"/>
          </w:tcPr>
          <w:p w14:paraId="0C4F41BA">
            <w:pPr>
              <w:spacing w:after="0"/>
              <w:jc w:val="center"/>
            </w:pPr>
            <w:r>
              <w:rPr>
                <w:rFonts w:ascii="微软雅黑" w:hAnsi="微软雅黑" w:eastAsia="微软雅黑"/>
                <w:color w:val="263238"/>
                <w:sz w:val="16"/>
              </w:rPr>
              <w:t>门店数为总体比例分母；通话数用于沟通负担指标</w:t>
            </w:r>
          </w:p>
        </w:tc>
      </w:tr>
      <w:tr w14:paraId="19D19A4F">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814" w:type="dxa"/>
            <w:vAlign w:val="center"/>
          </w:tcPr>
          <w:p w14:paraId="2D4A91B6">
            <w:pPr>
              <w:spacing w:after="0"/>
              <w:jc w:val="center"/>
            </w:pPr>
            <w:r>
              <w:rPr>
                <w:rFonts w:ascii="微软雅黑" w:hAnsi="微软雅黑" w:eastAsia="微软雅黑"/>
                <w:color w:val="263238"/>
                <w:sz w:val="16"/>
              </w:rPr>
              <w:t>咨询者身份</w:t>
            </w:r>
          </w:p>
        </w:tc>
        <w:tc>
          <w:tcPr>
            <w:tcW w:w="2835" w:type="dxa"/>
            <w:vAlign w:val="center"/>
          </w:tcPr>
          <w:p w14:paraId="20C4B85A">
            <w:pPr>
              <w:spacing w:after="0"/>
              <w:jc w:val="center"/>
            </w:pPr>
            <w:r>
              <w:rPr>
                <w:rFonts w:ascii="微软雅黑" w:hAnsi="微软雅黑" w:eastAsia="微软雅黑"/>
                <w:color w:val="263238"/>
                <w:sz w:val="16"/>
              </w:rPr>
              <w:t>以导盲犬使用者身份咨询的门店428家；以代盲人朋友咨询身份联系的门店130家</w:t>
            </w:r>
          </w:p>
        </w:tc>
        <w:tc>
          <w:tcPr>
            <w:tcW w:w="3969" w:type="dxa"/>
            <w:vAlign w:val="center"/>
          </w:tcPr>
          <w:p w14:paraId="35E1283E">
            <w:pPr>
              <w:spacing w:after="0"/>
              <w:jc w:val="center"/>
            </w:pPr>
            <w:r>
              <w:rPr>
                <w:rFonts w:ascii="微软雅黑" w:hAnsi="微软雅黑" w:eastAsia="微软雅黑"/>
                <w:color w:val="263238"/>
                <w:sz w:val="16"/>
              </w:rPr>
              <w:t>用于说明情境，不混入结果指标</w:t>
            </w:r>
          </w:p>
        </w:tc>
      </w:tr>
      <w:tr w14:paraId="4590B1B3">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814" w:type="dxa"/>
            <w:vAlign w:val="center"/>
          </w:tcPr>
          <w:p w14:paraId="19197CA1">
            <w:pPr>
              <w:spacing w:after="0"/>
              <w:jc w:val="center"/>
            </w:pPr>
            <w:r>
              <w:rPr>
                <w:rFonts w:ascii="微软雅黑" w:hAnsi="微软雅黑" w:eastAsia="微软雅黑"/>
                <w:color w:val="263238"/>
                <w:sz w:val="16"/>
              </w:rPr>
              <w:t>最终答复方</w:t>
            </w:r>
          </w:p>
        </w:tc>
        <w:tc>
          <w:tcPr>
            <w:tcW w:w="2835" w:type="dxa"/>
            <w:vAlign w:val="center"/>
          </w:tcPr>
          <w:p w14:paraId="01CEDB3F">
            <w:pPr>
              <w:spacing w:after="0"/>
              <w:jc w:val="center"/>
            </w:pPr>
            <w:r>
              <w:rPr>
                <w:rFonts w:ascii="微软雅黑" w:hAnsi="微软雅黑" w:eastAsia="微软雅黑"/>
                <w:color w:val="263238"/>
                <w:sz w:val="16"/>
              </w:rPr>
              <w:t>前台461家；管理人员97家</w:t>
            </w:r>
          </w:p>
        </w:tc>
        <w:tc>
          <w:tcPr>
            <w:tcW w:w="3969" w:type="dxa"/>
            <w:vAlign w:val="center"/>
          </w:tcPr>
          <w:p w14:paraId="77BDC08C">
            <w:pPr>
              <w:spacing w:after="0"/>
              <w:jc w:val="center"/>
            </w:pPr>
            <w:r>
              <w:rPr>
                <w:rFonts w:ascii="微软雅黑" w:hAnsi="微软雅黑" w:eastAsia="微软雅黑"/>
                <w:color w:val="263238"/>
                <w:sz w:val="16"/>
              </w:rPr>
              <w:t>观察内部上报处理，不等同于实际决策人</w:t>
            </w:r>
          </w:p>
        </w:tc>
      </w:tr>
    </w:tbl>
    <w:p w14:paraId="5AFDEDBA">
      <w:pPr>
        <w:pStyle w:val="174"/>
      </w:pPr>
      <w:r>
        <w:t>注：“进一步沟通”与“独立通话次数”是两个不同字段，答复结果与电话往返次数分别统计。</w:t>
      </w:r>
    </w:p>
    <w:p w14:paraId="5A95E045">
      <w:pPr>
        <w:pStyle w:val="5"/>
      </w:pPr>
      <w:bookmarkStart w:id="54" w:name="_Toc239432616"/>
      <w:r>
        <w:t>（二）电话调研方法</w:t>
      </w:r>
      <w:bookmarkEnd w:id="54"/>
    </w:p>
    <w:p w14:paraId="42C99FE4">
      <w:pPr>
        <w:rPr>
          <w:lang w:eastAsia="zh-CN"/>
        </w:rPr>
      </w:pPr>
      <w:r>
        <w:rPr>
          <w:rFonts w:hint="eastAsia"/>
        </w:rPr>
        <w:t>研究团队的四名主要成员分别以导盲犬使用者或亲友的身份进行入住咨询。在第一轮电话</w:t>
      </w:r>
      <w:r>
        <w:rPr>
          <w:rFonts w:hint="eastAsia"/>
          <w:lang w:eastAsia="zh-CN"/>
        </w:rPr>
        <w:t>沟通</w:t>
      </w:r>
      <w:r>
        <w:rPr>
          <w:rFonts w:hint="eastAsia"/>
        </w:rPr>
        <w:t>中，研究者介绍基本出行需求，并明确询问携带导盲犬是否可以入住，尽可能保留酒店前台接线人员在缺少额外提示时的自然反应，从而观察</w:t>
      </w:r>
      <w:r>
        <w:rPr>
          <w:rFonts w:hint="eastAsia"/>
          <w:lang w:eastAsia="zh-CN"/>
        </w:rPr>
        <w:t>：</w:t>
      </w:r>
    </w:p>
    <w:p w14:paraId="4C07CC16">
      <w:pPr>
        <w:numPr>
          <w:ilvl w:val="0"/>
          <w:numId w:val="2"/>
        </w:numPr>
        <w:rPr>
          <w:lang w:eastAsia="zh-CN"/>
        </w:rPr>
      </w:pPr>
      <w:r>
        <w:rPr>
          <w:rFonts w:hint="eastAsia"/>
        </w:rPr>
        <w:t>一线工作人员是否了解导盲犬的身份属性</w:t>
      </w:r>
      <w:r>
        <w:rPr>
          <w:rFonts w:hint="eastAsia"/>
          <w:lang w:eastAsia="zh-CN"/>
        </w:rPr>
        <w:t>；</w:t>
      </w:r>
    </w:p>
    <w:p w14:paraId="622D5529">
      <w:pPr>
        <w:numPr>
          <w:ilvl w:val="0"/>
          <w:numId w:val="2"/>
        </w:numPr>
      </w:pPr>
      <w:r>
        <w:rPr>
          <w:rFonts w:hint="eastAsia"/>
          <w:lang w:eastAsia="zh-CN"/>
        </w:rPr>
        <w:t>一线工作人员</w:t>
      </w:r>
      <w:r>
        <w:rPr>
          <w:rFonts w:hint="eastAsia"/>
        </w:rPr>
        <w:t>能否直接依据既有政策作出答复</w:t>
      </w:r>
      <w:r>
        <w:rPr>
          <w:rFonts w:hint="eastAsia"/>
          <w:lang w:eastAsia="zh-CN"/>
        </w:rPr>
        <w:t>；</w:t>
      </w:r>
    </w:p>
    <w:p w14:paraId="0028F8B0">
      <w:pPr>
        <w:numPr>
          <w:ilvl w:val="0"/>
          <w:numId w:val="2"/>
        </w:numPr>
      </w:pPr>
      <w:r>
        <w:rPr>
          <w:rFonts w:hint="eastAsia"/>
          <w:lang w:eastAsia="zh-CN"/>
        </w:rPr>
        <w:t>一线工作人员</w:t>
      </w:r>
      <w:r>
        <w:rPr>
          <w:rFonts w:hint="eastAsia"/>
        </w:rPr>
        <w:t>是否需要向上级请示。</w:t>
      </w:r>
    </w:p>
    <w:p w14:paraId="3ED935E7">
      <w:pPr>
        <w:numPr>
          <w:ilvl w:val="255"/>
          <w:numId w:val="0"/>
        </w:numPr>
        <w:ind w:firstLine="420" w:firstLineChars="200"/>
      </w:pPr>
      <w:r>
        <w:rPr>
          <w:rFonts w:hint="eastAsia"/>
        </w:rPr>
        <w:t>当酒店前台明确表示拒绝或无法作出明确答复时，研究者会主动澄清导盲犬的属性及相关法律政策依据；必要时，请求与经理、主管或店长等管理人员沟通。</w:t>
      </w:r>
    </w:p>
    <w:p w14:paraId="2DF5C114">
      <w:pPr>
        <w:numPr>
          <w:ilvl w:val="255"/>
          <w:numId w:val="0"/>
        </w:numPr>
        <w:ind w:firstLine="420" w:firstLineChars="200"/>
      </w:pPr>
      <w:r>
        <w:rPr>
          <w:rFonts w:hint="eastAsia"/>
        </w:rPr>
        <w:t>第二轮电话沟通中，如果酒店方仍然拒绝入住，研究者会继续询问并回应酒店拒绝的具体理由和担忧；必要时，直接请求与能够作出最终决定的管理人员沟通。</w:t>
      </w:r>
    </w:p>
    <w:p w14:paraId="47FCDC2E">
      <w:pPr>
        <w:numPr>
          <w:ilvl w:val="255"/>
          <w:numId w:val="0"/>
        </w:numPr>
        <w:ind w:firstLine="420" w:firstLineChars="200"/>
      </w:pPr>
      <w:r>
        <w:rPr>
          <w:rFonts w:hint="eastAsia"/>
        </w:rPr>
        <w:t>对于经过第二轮沟通后仍无法形成明确答复、或需要继续向内部请示的门店，团队成员会根据实际情况继续进行第三轮及后续电话联系，最终确认门店对导盲犬入住的答复及其说明的接待规则。</w:t>
      </w:r>
    </w:p>
    <w:p w14:paraId="4A97A83A">
      <w:r>
        <w:t>电话调研还记录了最终答复者的身份。消费者通常先接触前台，但遇到导盲犬能否入住、需要提供哪些证件等问题时，部分门店会转由经理或店长确认。记录最终答复者的身份，有助于理解酒店内部政策传达与一线执行之间的关系，也能呈现消费者承担的隐性沟通成本。</w:t>
      </w:r>
    </w:p>
    <w:p w14:paraId="371D98E8">
      <w:r>
        <w:t>一般住客通常不需要在入住前反复致电确认，更少需要转接前台以外的工作人员才能获得明确答复。558家有效反馈门店中，461家由前台工作人员直接回复，占82.6%；97家转接至值班经理、主管或店长等管理人员后回复，占17.4%。</w:t>
      </w:r>
    </w:p>
    <w:p w14:paraId="105B0212">
      <w:r>
        <w:t>即使由前台直接回复，部分前台也可能先在内部询问店长或上级，再向咨询者反馈结果。按原始数据中的独立通话次数统计，187家门店需要2次及以上独立通话，占33.5%；另有225家门店的答复结果被记录为“沟通后同意”或“沟通后拒绝”，占40.3%。两项指标口径不同：前者记录独立通话次数，后者还可能包含同一次电话内的解释、等待或内部询问。消费者能否获得清晰、稳定的答复，不仅取决于酒店是否愿意接纳，也取决于相关政策是否传达到一线岗位、门店是否形成可执行的服务流程。</w:t>
      </w:r>
    </w:p>
    <w:p w14:paraId="0E6B3260">
      <w:pPr>
        <w:pStyle w:val="5"/>
      </w:pPr>
      <w:bookmarkStart w:id="55" w:name="_Toc239432617"/>
      <w:r>
        <w:t>（三）调研时间与社会情境</w:t>
      </w:r>
      <w:bookmarkEnd w:id="55"/>
    </w:p>
    <w:p w14:paraId="41784B71">
      <w:r>
        <w:t>本次调研在时间维度上跨越了19个月，呈现出明显的阶段差异。第一阶段调研开展于2023年11月至2024年1月，覆盖北京、上海、天津、郑州、秦皇岛、青岛、杭州7个城市，反映了门店在常规服务场景下的实际回应状态。第二阶段调研于2025年6月展开，涵盖了剩余23个城市。</w:t>
      </w:r>
    </w:p>
    <w:p w14:paraId="3EF2FB3A">
      <w:r>
        <w:t>第二阶段调研前，即2025年5月初，视障博主@诺子喵呜发布的“入住全季酒店遭拒”视频引发社会舆论。这一事件构成第二阶段调研的行业背景，也可能影响部分品牌和门店在电话咨询中的回应方式。后续电话咨询中，华住旗下汉庭、全季门店整体呈现出经沟通后可以接纳导盲犬入住的回应倾向。</w:t>
      </w:r>
    </w:p>
    <w:p w14:paraId="0A9CBD5C">
      <w:r>
        <w:t>两批样本覆盖不同城市，第二批处在相关事件引发公众讨论之后。两批调查属于两个横截面样本。两批结果的差异可能与城市构成、品牌门店分布及社会情境有关，不能作同一批门店的事件前后比较。</w:t>
      </w:r>
    </w:p>
    <w:p w14:paraId="3A192B5E">
      <w:pPr>
        <w:pStyle w:val="173"/>
      </w:pPr>
      <w:r>
        <w:t>表4　两批城市样本与主要结果</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2665"/>
        <w:gridCol w:w="1020"/>
        <w:gridCol w:w="1191"/>
        <w:gridCol w:w="1191"/>
        <w:gridCol w:w="1304"/>
      </w:tblGrid>
      <w:tr w14:paraId="1E6C4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020" w:type="dxa"/>
            <w:shd w:val="clear" w:color="auto" w:fill="DDEBF7"/>
            <w:tcMar>
              <w:top w:w="90" w:type="dxa"/>
              <w:left w:w="110" w:type="dxa"/>
              <w:bottom w:w="90" w:type="dxa"/>
              <w:right w:w="110" w:type="dxa"/>
            </w:tcMar>
            <w:vAlign w:val="center"/>
          </w:tcPr>
          <w:p w14:paraId="72A190C8">
            <w:pPr>
              <w:keepNext/>
              <w:spacing w:before="0" w:after="0" w:line="269" w:lineRule="auto"/>
            </w:pPr>
            <w:r>
              <w:rPr>
                <w:b/>
                <w:color w:val="17365D"/>
                <w:sz w:val="15"/>
              </w:rPr>
              <w:t>批次</w:t>
            </w:r>
          </w:p>
        </w:tc>
        <w:tc>
          <w:tcPr>
            <w:tcW w:w="2665" w:type="dxa"/>
            <w:shd w:val="clear" w:color="auto" w:fill="DDEBF7"/>
            <w:tcMar>
              <w:top w:w="90" w:type="dxa"/>
              <w:left w:w="110" w:type="dxa"/>
              <w:bottom w:w="90" w:type="dxa"/>
              <w:right w:w="110" w:type="dxa"/>
            </w:tcMar>
            <w:vAlign w:val="center"/>
          </w:tcPr>
          <w:p w14:paraId="3B3C4E7B">
            <w:pPr>
              <w:keepNext/>
              <w:spacing w:before="0" w:after="0" w:line="269" w:lineRule="auto"/>
            </w:pPr>
            <w:r>
              <w:rPr>
                <w:b/>
                <w:color w:val="17365D"/>
                <w:sz w:val="15"/>
              </w:rPr>
              <w:t>时间与城市</w:t>
            </w:r>
          </w:p>
        </w:tc>
        <w:tc>
          <w:tcPr>
            <w:tcW w:w="1020" w:type="dxa"/>
            <w:shd w:val="clear" w:color="auto" w:fill="DDEBF7"/>
            <w:tcMar>
              <w:top w:w="90" w:type="dxa"/>
              <w:left w:w="110" w:type="dxa"/>
              <w:bottom w:w="90" w:type="dxa"/>
              <w:right w:w="110" w:type="dxa"/>
            </w:tcMar>
            <w:vAlign w:val="center"/>
          </w:tcPr>
          <w:p w14:paraId="139B880C">
            <w:pPr>
              <w:keepNext/>
              <w:spacing w:before="0" w:after="0" w:line="269" w:lineRule="auto"/>
            </w:pPr>
            <w:r>
              <w:rPr>
                <w:b/>
                <w:color w:val="17365D"/>
                <w:sz w:val="15"/>
              </w:rPr>
              <w:t>有效样本</w:t>
            </w:r>
          </w:p>
        </w:tc>
        <w:tc>
          <w:tcPr>
            <w:tcW w:w="1191" w:type="dxa"/>
            <w:shd w:val="clear" w:color="auto" w:fill="DDEBF7"/>
            <w:tcMar>
              <w:top w:w="90" w:type="dxa"/>
              <w:left w:w="110" w:type="dxa"/>
              <w:bottom w:w="90" w:type="dxa"/>
              <w:right w:w="110" w:type="dxa"/>
            </w:tcMar>
            <w:vAlign w:val="center"/>
          </w:tcPr>
          <w:p w14:paraId="50BEF326">
            <w:pPr>
              <w:keepNext/>
              <w:spacing w:before="0" w:after="0" w:line="269" w:lineRule="auto"/>
            </w:pPr>
            <w:r>
              <w:rPr>
                <w:b/>
                <w:color w:val="17365D"/>
                <w:sz w:val="15"/>
              </w:rPr>
              <w:t>直接同意</w:t>
            </w:r>
          </w:p>
        </w:tc>
        <w:tc>
          <w:tcPr>
            <w:tcW w:w="1191" w:type="dxa"/>
            <w:shd w:val="clear" w:color="auto" w:fill="DDEBF7"/>
            <w:tcMar>
              <w:top w:w="90" w:type="dxa"/>
              <w:left w:w="110" w:type="dxa"/>
              <w:bottom w:w="90" w:type="dxa"/>
              <w:right w:w="110" w:type="dxa"/>
            </w:tcMar>
            <w:vAlign w:val="center"/>
          </w:tcPr>
          <w:p w14:paraId="4882DAE3">
            <w:pPr>
              <w:keepNext/>
              <w:spacing w:before="0" w:after="0" w:line="269" w:lineRule="auto"/>
            </w:pPr>
            <w:r>
              <w:rPr>
                <w:b/>
                <w:color w:val="17365D"/>
                <w:sz w:val="15"/>
              </w:rPr>
              <w:t>最终接纳</w:t>
            </w:r>
          </w:p>
        </w:tc>
        <w:tc>
          <w:tcPr>
            <w:tcW w:w="1304" w:type="dxa"/>
            <w:shd w:val="clear" w:color="auto" w:fill="DDEBF7"/>
            <w:tcMar>
              <w:top w:w="90" w:type="dxa"/>
              <w:left w:w="110" w:type="dxa"/>
              <w:bottom w:w="90" w:type="dxa"/>
              <w:right w:w="110" w:type="dxa"/>
            </w:tcMar>
            <w:vAlign w:val="center"/>
          </w:tcPr>
          <w:p w14:paraId="5F140763">
            <w:pPr>
              <w:keepNext/>
              <w:spacing w:before="0" w:after="0" w:line="269" w:lineRule="auto"/>
            </w:pPr>
            <w:r>
              <w:rPr>
                <w:b/>
                <w:color w:val="17365D"/>
                <w:sz w:val="15"/>
              </w:rPr>
              <w:t>2次及以上通话</w:t>
            </w:r>
          </w:p>
        </w:tc>
      </w:tr>
      <w:tr w14:paraId="715A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Mar>
              <w:top w:w="90" w:type="dxa"/>
              <w:left w:w="110" w:type="dxa"/>
              <w:bottom w:w="90" w:type="dxa"/>
              <w:right w:w="110" w:type="dxa"/>
            </w:tcMar>
            <w:vAlign w:val="center"/>
          </w:tcPr>
          <w:p w14:paraId="3A15B721">
            <w:pPr>
              <w:spacing w:before="0" w:after="0" w:line="269" w:lineRule="auto"/>
            </w:pPr>
            <w:r>
              <w:rPr>
                <w:sz w:val="15"/>
              </w:rPr>
              <w:t>第一批</w:t>
            </w:r>
          </w:p>
        </w:tc>
        <w:tc>
          <w:tcPr>
            <w:tcW w:w="2665" w:type="dxa"/>
            <w:tcMar>
              <w:top w:w="90" w:type="dxa"/>
              <w:left w:w="110" w:type="dxa"/>
              <w:bottom w:w="90" w:type="dxa"/>
              <w:right w:w="110" w:type="dxa"/>
            </w:tcMar>
            <w:vAlign w:val="center"/>
          </w:tcPr>
          <w:p w14:paraId="6E1F34FE">
            <w:pPr>
              <w:spacing w:before="0" w:after="0" w:line="269" w:lineRule="auto"/>
            </w:pPr>
            <w:r>
              <w:rPr>
                <w:sz w:val="15"/>
              </w:rPr>
              <w:t>2023年11月至2024年1月；北京、上海、天津、郑州、秦皇岛、青岛、杭州</w:t>
            </w:r>
          </w:p>
        </w:tc>
        <w:tc>
          <w:tcPr>
            <w:tcW w:w="1020" w:type="dxa"/>
            <w:tcMar>
              <w:top w:w="90" w:type="dxa"/>
              <w:left w:w="110" w:type="dxa"/>
              <w:bottom w:w="90" w:type="dxa"/>
              <w:right w:w="110" w:type="dxa"/>
            </w:tcMar>
            <w:vAlign w:val="center"/>
          </w:tcPr>
          <w:p w14:paraId="3E40E378">
            <w:pPr>
              <w:spacing w:before="0" w:after="0" w:line="269" w:lineRule="auto"/>
            </w:pPr>
            <w:r>
              <w:rPr>
                <w:sz w:val="15"/>
              </w:rPr>
              <w:t>133家</w:t>
            </w:r>
          </w:p>
        </w:tc>
        <w:tc>
          <w:tcPr>
            <w:tcW w:w="1191" w:type="dxa"/>
            <w:tcMar>
              <w:top w:w="90" w:type="dxa"/>
              <w:left w:w="110" w:type="dxa"/>
              <w:bottom w:w="90" w:type="dxa"/>
              <w:right w:w="110" w:type="dxa"/>
            </w:tcMar>
            <w:vAlign w:val="center"/>
          </w:tcPr>
          <w:p w14:paraId="5A633B59">
            <w:pPr>
              <w:spacing w:before="0" w:after="0" w:line="269" w:lineRule="auto"/>
            </w:pPr>
            <w:r>
              <w:rPr>
                <w:sz w:val="15"/>
              </w:rPr>
              <w:t>37家（27.8%）</w:t>
            </w:r>
          </w:p>
        </w:tc>
        <w:tc>
          <w:tcPr>
            <w:tcW w:w="1191" w:type="dxa"/>
            <w:tcMar>
              <w:top w:w="90" w:type="dxa"/>
              <w:left w:w="110" w:type="dxa"/>
              <w:bottom w:w="90" w:type="dxa"/>
              <w:right w:w="110" w:type="dxa"/>
            </w:tcMar>
            <w:vAlign w:val="center"/>
          </w:tcPr>
          <w:p w14:paraId="2BE8AD7C">
            <w:pPr>
              <w:spacing w:before="0" w:after="0" w:line="269" w:lineRule="auto"/>
            </w:pPr>
            <w:r>
              <w:rPr>
                <w:sz w:val="15"/>
              </w:rPr>
              <w:t>76家（57.1%）</w:t>
            </w:r>
          </w:p>
        </w:tc>
        <w:tc>
          <w:tcPr>
            <w:tcW w:w="1304" w:type="dxa"/>
            <w:tcMar>
              <w:top w:w="90" w:type="dxa"/>
              <w:left w:w="110" w:type="dxa"/>
              <w:bottom w:w="90" w:type="dxa"/>
              <w:right w:w="110" w:type="dxa"/>
            </w:tcMar>
            <w:vAlign w:val="center"/>
          </w:tcPr>
          <w:p w14:paraId="185433F5">
            <w:pPr>
              <w:spacing w:before="0" w:after="0" w:line="269" w:lineRule="auto"/>
            </w:pPr>
            <w:r>
              <w:rPr>
                <w:sz w:val="15"/>
              </w:rPr>
              <w:t>59家（44.4%）</w:t>
            </w:r>
          </w:p>
        </w:tc>
      </w:tr>
      <w:tr w14:paraId="4A7D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shd w:val="clear" w:color="auto" w:fill="F3F7FA"/>
            <w:tcMar>
              <w:top w:w="90" w:type="dxa"/>
              <w:left w:w="110" w:type="dxa"/>
              <w:bottom w:w="90" w:type="dxa"/>
              <w:right w:w="110" w:type="dxa"/>
            </w:tcMar>
            <w:vAlign w:val="center"/>
          </w:tcPr>
          <w:p w14:paraId="25468E31">
            <w:pPr>
              <w:spacing w:before="0" w:after="0" w:line="269" w:lineRule="auto"/>
            </w:pPr>
            <w:r>
              <w:rPr>
                <w:sz w:val="15"/>
              </w:rPr>
              <w:t>第二批</w:t>
            </w:r>
          </w:p>
        </w:tc>
        <w:tc>
          <w:tcPr>
            <w:tcW w:w="2665" w:type="dxa"/>
            <w:shd w:val="clear" w:color="auto" w:fill="F3F7FA"/>
            <w:tcMar>
              <w:top w:w="90" w:type="dxa"/>
              <w:left w:w="110" w:type="dxa"/>
              <w:bottom w:w="90" w:type="dxa"/>
              <w:right w:w="110" w:type="dxa"/>
            </w:tcMar>
            <w:vAlign w:val="center"/>
          </w:tcPr>
          <w:p w14:paraId="1EC9A52D">
            <w:pPr>
              <w:spacing w:before="0" w:after="0" w:line="269" w:lineRule="auto"/>
            </w:pPr>
            <w:r>
              <w:rPr>
                <w:sz w:val="15"/>
              </w:rPr>
              <w:t>2025年6月；其余23个城市</w:t>
            </w:r>
          </w:p>
        </w:tc>
        <w:tc>
          <w:tcPr>
            <w:tcW w:w="1020" w:type="dxa"/>
            <w:shd w:val="clear" w:color="auto" w:fill="F3F7FA"/>
            <w:tcMar>
              <w:top w:w="90" w:type="dxa"/>
              <w:left w:w="110" w:type="dxa"/>
              <w:bottom w:w="90" w:type="dxa"/>
              <w:right w:w="110" w:type="dxa"/>
            </w:tcMar>
            <w:vAlign w:val="center"/>
          </w:tcPr>
          <w:p w14:paraId="38D26BBE">
            <w:pPr>
              <w:spacing w:before="0" w:after="0" w:line="269" w:lineRule="auto"/>
            </w:pPr>
            <w:r>
              <w:rPr>
                <w:sz w:val="15"/>
              </w:rPr>
              <w:t>425家</w:t>
            </w:r>
          </w:p>
        </w:tc>
        <w:tc>
          <w:tcPr>
            <w:tcW w:w="1191" w:type="dxa"/>
            <w:shd w:val="clear" w:color="auto" w:fill="F3F7FA"/>
            <w:tcMar>
              <w:top w:w="90" w:type="dxa"/>
              <w:left w:w="110" w:type="dxa"/>
              <w:bottom w:w="90" w:type="dxa"/>
              <w:right w:w="110" w:type="dxa"/>
            </w:tcMar>
            <w:vAlign w:val="center"/>
          </w:tcPr>
          <w:p w14:paraId="7B7C1AEE">
            <w:pPr>
              <w:spacing w:before="0" w:after="0" w:line="269" w:lineRule="auto"/>
            </w:pPr>
            <w:r>
              <w:rPr>
                <w:sz w:val="15"/>
              </w:rPr>
              <w:t>250家（58.8%）</w:t>
            </w:r>
          </w:p>
        </w:tc>
        <w:tc>
          <w:tcPr>
            <w:tcW w:w="1191" w:type="dxa"/>
            <w:shd w:val="clear" w:color="auto" w:fill="F3F7FA"/>
            <w:tcMar>
              <w:top w:w="90" w:type="dxa"/>
              <w:left w:w="110" w:type="dxa"/>
              <w:bottom w:w="90" w:type="dxa"/>
              <w:right w:w="110" w:type="dxa"/>
            </w:tcMar>
            <w:vAlign w:val="center"/>
          </w:tcPr>
          <w:p w14:paraId="63222487">
            <w:pPr>
              <w:spacing w:before="0" w:after="0" w:line="269" w:lineRule="auto"/>
            </w:pPr>
            <w:r>
              <w:rPr>
                <w:sz w:val="15"/>
              </w:rPr>
              <w:t>389家（91.5%）</w:t>
            </w:r>
          </w:p>
        </w:tc>
        <w:tc>
          <w:tcPr>
            <w:tcW w:w="1304" w:type="dxa"/>
            <w:shd w:val="clear" w:color="auto" w:fill="F3F7FA"/>
            <w:tcMar>
              <w:top w:w="90" w:type="dxa"/>
              <w:left w:w="110" w:type="dxa"/>
              <w:bottom w:w="90" w:type="dxa"/>
              <w:right w:w="110" w:type="dxa"/>
            </w:tcMar>
            <w:vAlign w:val="center"/>
          </w:tcPr>
          <w:p w14:paraId="2FE049DA">
            <w:pPr>
              <w:spacing w:before="0" w:after="0" w:line="269" w:lineRule="auto"/>
            </w:pPr>
            <w:r>
              <w:rPr>
                <w:sz w:val="15"/>
              </w:rPr>
              <w:t>128家（30.1%）</w:t>
            </w:r>
          </w:p>
        </w:tc>
      </w:tr>
    </w:tbl>
    <w:p w14:paraId="087AC791">
      <w:pPr>
        <w:pStyle w:val="174"/>
      </w:pPr>
      <w:r>
        <w:t>注：批次归属根据两阶段城市范围确定。原始工作簿未设置单条通话日期字段；两批样本来自不同城市和门店，属于两个横截面样本。</w:t>
      </w:r>
    </w:p>
    <w:p w14:paraId="6946C510">
      <w:pPr>
        <w:pStyle w:val="5"/>
      </w:pPr>
      <w:r>
        <w:t>（四）建议形成的经验依据</w:t>
      </w:r>
    </w:p>
    <w:p w14:paraId="5B02EA47">
      <w:r>
        <w:t>围绕电话调研中发现的顾虑与障碍，研究团队结合成员自身使用导盲犬的住宿经历、日常社群交流，以及与导盲犬使用者开展的单独交流、咨询和焦点小组讨论，形成面向酒店及其他相关方的改进建议。</w:t>
      </w:r>
    </w:p>
    <w:p w14:paraId="19E27C1D">
      <w:r>
        <w:t>团队成员的住宿经历和与使用者的交流，用于理解预订咨询与实际接待之间的问题，并为接待流程、按需引导和现场协调提供建议。门店接纳比例和排行依据电话调查记录计算。</w:t>
      </w:r>
    </w:p>
    <w:p w14:paraId="058E4E0F">
      <w:pPr>
        <w:rPr>
          <w:lang w:eastAsia="zh-CN"/>
        </w:rPr>
      </w:pPr>
      <w:r>
        <w:t>正文电话案例按通话过程转述，咨询者以使用者本人或亲友身份开展调查，分别注明身份。案例编号对应录音整理台账，同一门店的多段通话按过程归并。本人身份咨询呈现其说明需求、追问和确认的行动；住宿经历、日常交流、单独咨询和焦点小组材料用于解释实际安排与现场接待。门店比例和排行依据558家有效反馈记录计算。</w:t>
      </w:r>
    </w:p>
    <w:p w14:paraId="1C9C419C">
      <w:pPr>
        <w:pStyle w:val="4"/>
      </w:pPr>
      <w:bookmarkStart w:id="56" w:name="_Toc239432630"/>
      <w:bookmarkStart w:id="57" w:name="_Toc240635850"/>
      <w:r>
        <w:t>二 测评指标与编码规则</w:t>
      </w:r>
      <w:bookmarkEnd w:id="51"/>
      <w:bookmarkEnd w:id="56"/>
      <w:bookmarkEnd w:id="57"/>
    </w:p>
    <w:p w14:paraId="318DC3BB">
      <w:pPr>
        <w:pStyle w:val="5"/>
      </w:pPr>
      <w:r>
        <w:t>（一）沟通成本与排行指数</w:t>
      </w:r>
    </w:p>
    <w:p w14:paraId="269AB068">
      <w:r>
        <w:t>独立通话次数用于衡量导盲犬入住前的沟通成本。每次重新拨打电话，往往伴随再次说明情况、等待内部确认或联系负责人。这些过程增加了消费者获得明确答复的负担。</w:t>
      </w:r>
    </w:p>
    <w:p w14:paraId="176E4699">
      <w:r>
        <w:t>普通住客的预订通常可以在线完成，或只需一次电话确认。导盲犬入住需要多次致电时，额外的沟通负担由导盲犬使用者承担。</w:t>
      </w:r>
    </w:p>
    <w:p w14:paraId="7C9713A0">
      <w:r>
        <w:t>样本接纳与沟通指数由三个比例构成，均以相应品牌或城市的有效反馈门店数为分母。最终接纳率是最终同意入住的门店比例；直接同意率是第一轮明确同意入住的门店比例；一次通话接纳率是在一次独立通话内获得最终接纳的门店比例。</w:t>
      </w:r>
    </w:p>
    <w:p w14:paraId="4AD8DC3B">
      <w:r>
        <w:t>指数满分10分，计算公式为：</w:t>
      </w:r>
    </w:p>
    <w:p w14:paraId="7C85AE0E">
      <w:r>
        <w:t>样本接纳与沟通指数＝6×最终接纳率＋2×直接同意率＋2×一次通话接纳率。</w:t>
      </w:r>
    </w:p>
    <w:p w14:paraId="2F733B22">
      <w:r>
        <w:t>最终接纳率占6分，体现门店最终是否在电话中同意接待；直接同意率占2分，体现门店能否在第一轮沟通中明确同意接待；一次通话接纳率占2分，体现消费者能否在较少沟通下获得接纳。直接拒绝不计入一次通话接纳，迅速拒绝不获得沟通效率分。</w:t>
      </w:r>
    </w:p>
    <w:p w14:paraId="72B05E7E">
      <w:r>
        <w:t>直接同意记录答复类型，一次通话接纳同时要求仅有一次独立通话且最终接纳，两项指标分别计算。门店可能在一次通话内经过解释或请示后同意，也可能经过多次电话联系才给出最终答复。</w:t>
      </w:r>
    </w:p>
    <w:p w14:paraId="7325EB20">
      <w:r>
        <w:t>品牌和城市分别按照这一公式计算得分并排序。附带条件不折算进指数，在榜单中单独列出。最终拒绝率、多次通话比例和附带条件比例分别补充说明接纳结果、沟通负担和入住条件。</w:t>
      </w:r>
    </w:p>
    <w:p w14:paraId="10BA2570">
      <w:pPr>
        <w:pStyle w:val="5"/>
      </w:pPr>
      <w:r>
        <w:t>（二）样本接纳与沟通指数计算规则</w:t>
      </w:r>
    </w:p>
    <w:p w14:paraId="503AE213">
      <w:r>
        <w:t>指数根据答复结果和独立通话次数计算；附带条件编码用于在排行榜中单独列示。答复结果与独立通话次数分别统计。</w:t>
      </w:r>
    </w:p>
    <w:tbl>
      <w:tblPr>
        <w:tblStyle w:val="38"/>
        <w:tblW w:w="0" w:type="auto"/>
        <w:jc w:val="center"/>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Layout w:type="fixed"/>
        <w:tblCellMar>
          <w:top w:w="0" w:type="dxa"/>
          <w:left w:w="108" w:type="dxa"/>
          <w:bottom w:w="0" w:type="dxa"/>
          <w:right w:w="108" w:type="dxa"/>
        </w:tblCellMar>
      </w:tblPr>
      <w:tblGrid>
        <w:gridCol w:w="2551"/>
        <w:gridCol w:w="3061"/>
        <w:gridCol w:w="3061"/>
      </w:tblGrid>
      <w:tr w14:paraId="2B22313F">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tblHeader/>
          <w:jc w:val="center"/>
        </w:trPr>
        <w:tc>
          <w:tcPr>
            <w:tcW w:w="2551" w:type="dxa"/>
            <w:shd w:val="clear" w:color="auto" w:fill="DDE6F0"/>
            <w:vAlign w:val="center"/>
          </w:tcPr>
          <w:p w14:paraId="7DFFC911">
            <w:pPr>
              <w:keepNext/>
              <w:spacing w:after="0"/>
              <w:jc w:val="center"/>
            </w:pPr>
            <w:r>
              <w:rPr>
                <w:rFonts w:ascii="微软雅黑" w:hAnsi="微软雅黑" w:eastAsia="微软雅黑"/>
                <w:b/>
                <w:color w:val="263238"/>
                <w:sz w:val="16"/>
              </w:rPr>
              <w:t>数据字段</w:t>
            </w:r>
          </w:p>
        </w:tc>
        <w:tc>
          <w:tcPr>
            <w:tcW w:w="3061" w:type="dxa"/>
            <w:shd w:val="clear" w:color="auto" w:fill="DDE6F0"/>
            <w:vAlign w:val="center"/>
          </w:tcPr>
          <w:p w14:paraId="58D18D08">
            <w:pPr>
              <w:keepNext/>
              <w:spacing w:after="0"/>
              <w:jc w:val="center"/>
            </w:pPr>
            <w:r>
              <w:rPr>
                <w:rFonts w:ascii="微软雅黑" w:hAnsi="微软雅黑" w:eastAsia="微软雅黑"/>
                <w:b/>
                <w:color w:val="263238"/>
                <w:sz w:val="16"/>
              </w:rPr>
              <w:t>记录内容</w:t>
            </w:r>
          </w:p>
        </w:tc>
        <w:tc>
          <w:tcPr>
            <w:tcW w:w="3061" w:type="dxa"/>
            <w:shd w:val="clear" w:color="auto" w:fill="DDE6F0"/>
            <w:vAlign w:val="center"/>
          </w:tcPr>
          <w:p w14:paraId="7A1C4F7C">
            <w:pPr>
              <w:keepNext/>
              <w:spacing w:after="0"/>
              <w:jc w:val="center"/>
            </w:pPr>
            <w:r>
              <w:rPr>
                <w:rFonts w:ascii="微软雅黑" w:hAnsi="微软雅黑" w:eastAsia="微软雅黑"/>
                <w:b/>
                <w:color w:val="263238"/>
                <w:sz w:val="16"/>
              </w:rPr>
              <w:t>统计用途</w:t>
            </w:r>
          </w:p>
        </w:tc>
      </w:tr>
      <w:tr w14:paraId="5780C4BD">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2551" w:type="dxa"/>
            <w:vAlign w:val="center"/>
          </w:tcPr>
          <w:p w14:paraId="59C818A0">
            <w:pPr>
              <w:spacing w:after="0"/>
              <w:jc w:val="center"/>
            </w:pPr>
            <w:r>
              <w:rPr>
                <w:rFonts w:ascii="微软雅黑" w:hAnsi="微软雅黑" w:eastAsia="微软雅黑"/>
                <w:color w:val="263238"/>
                <w:sz w:val="16"/>
              </w:rPr>
              <w:t>答复结果</w:t>
            </w:r>
          </w:p>
        </w:tc>
        <w:tc>
          <w:tcPr>
            <w:tcW w:w="3061" w:type="dxa"/>
            <w:vAlign w:val="center"/>
          </w:tcPr>
          <w:p w14:paraId="6C658AB0">
            <w:pPr>
              <w:spacing w:after="0"/>
              <w:jc w:val="center"/>
            </w:pPr>
            <w:r>
              <w:rPr>
                <w:rFonts w:ascii="微软雅黑" w:hAnsi="微软雅黑" w:eastAsia="微软雅黑"/>
                <w:color w:val="263238"/>
                <w:sz w:val="16"/>
              </w:rPr>
              <w:t>直接同意、沟通后同意、直接拒绝、沟通后拒绝</w:t>
            </w:r>
          </w:p>
        </w:tc>
        <w:tc>
          <w:tcPr>
            <w:tcW w:w="3061" w:type="dxa"/>
            <w:vAlign w:val="center"/>
          </w:tcPr>
          <w:p w14:paraId="0E86769B">
            <w:pPr>
              <w:spacing w:after="0"/>
              <w:jc w:val="center"/>
            </w:pPr>
            <w:r>
              <w:rPr>
                <w:rFonts w:ascii="微软雅黑" w:hAnsi="微软雅黑" w:eastAsia="微软雅黑"/>
                <w:color w:val="263238"/>
                <w:sz w:val="16"/>
              </w:rPr>
              <w:t>计算最终接纳率和直接同意率</w:t>
            </w:r>
          </w:p>
        </w:tc>
      </w:tr>
      <w:tr w14:paraId="29098F1D">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2551" w:type="dxa"/>
            <w:vAlign w:val="center"/>
          </w:tcPr>
          <w:p w14:paraId="02087BDA">
            <w:pPr>
              <w:spacing w:after="0"/>
              <w:jc w:val="center"/>
            </w:pPr>
            <w:r>
              <w:rPr>
                <w:rFonts w:ascii="微软雅黑" w:hAnsi="微软雅黑" w:eastAsia="微软雅黑"/>
                <w:color w:val="263238"/>
                <w:sz w:val="16"/>
              </w:rPr>
              <w:t>独立通话次数</w:t>
            </w:r>
          </w:p>
        </w:tc>
        <w:tc>
          <w:tcPr>
            <w:tcW w:w="3061" w:type="dxa"/>
            <w:vAlign w:val="center"/>
          </w:tcPr>
          <w:p w14:paraId="1A8410F8">
            <w:pPr>
              <w:spacing w:after="0"/>
              <w:jc w:val="center"/>
            </w:pPr>
            <w:r>
              <w:rPr>
                <w:rFonts w:ascii="微软雅黑" w:hAnsi="微软雅黑" w:eastAsia="微软雅黑"/>
                <w:color w:val="263238"/>
                <w:sz w:val="16"/>
              </w:rPr>
              <w:t>每家门店取得最终答复前的电话联系次数</w:t>
            </w:r>
          </w:p>
        </w:tc>
        <w:tc>
          <w:tcPr>
            <w:tcW w:w="3061" w:type="dxa"/>
            <w:vAlign w:val="center"/>
          </w:tcPr>
          <w:p w14:paraId="578BCB78">
            <w:pPr>
              <w:spacing w:after="0"/>
              <w:jc w:val="center"/>
            </w:pPr>
            <w:r>
              <w:rPr>
                <w:rFonts w:ascii="微软雅黑" w:hAnsi="微软雅黑" w:eastAsia="微软雅黑"/>
                <w:color w:val="263238"/>
                <w:sz w:val="16"/>
              </w:rPr>
              <w:t>计算一次通话接纳率；多次通话另行列示</w:t>
            </w:r>
          </w:p>
        </w:tc>
      </w:tr>
      <w:tr w14:paraId="52A92AF0">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2551" w:type="dxa"/>
            <w:vAlign w:val="center"/>
          </w:tcPr>
          <w:p w14:paraId="6EC4212D">
            <w:pPr>
              <w:spacing w:after="0"/>
              <w:jc w:val="center"/>
            </w:pPr>
            <w:r>
              <w:rPr>
                <w:rFonts w:ascii="微软雅黑" w:hAnsi="微软雅黑" w:eastAsia="微软雅黑"/>
                <w:color w:val="263238"/>
                <w:sz w:val="16"/>
              </w:rPr>
              <w:t>附带条件编码</w:t>
            </w:r>
          </w:p>
        </w:tc>
        <w:tc>
          <w:tcPr>
            <w:tcW w:w="3061" w:type="dxa"/>
            <w:vAlign w:val="center"/>
          </w:tcPr>
          <w:p w14:paraId="7539ACC9">
            <w:pPr>
              <w:spacing w:after="0"/>
              <w:jc w:val="center"/>
            </w:pPr>
            <w:r>
              <w:rPr>
                <w:rFonts w:ascii="微软雅黑" w:hAnsi="微软雅黑" w:eastAsia="微软雅黑"/>
                <w:color w:val="263238"/>
                <w:sz w:val="16"/>
              </w:rPr>
              <w:t>收费、免责、行为限制、房间安排和活动范围限制等</w:t>
            </w:r>
          </w:p>
        </w:tc>
        <w:tc>
          <w:tcPr>
            <w:tcW w:w="3061" w:type="dxa"/>
            <w:vAlign w:val="center"/>
          </w:tcPr>
          <w:p w14:paraId="40A69B86">
            <w:pPr>
              <w:spacing w:after="0"/>
              <w:jc w:val="center"/>
            </w:pPr>
            <w:r>
              <w:rPr>
                <w:rFonts w:ascii="微软雅黑" w:hAnsi="微软雅黑" w:eastAsia="微软雅黑"/>
                <w:color w:val="263238"/>
                <w:sz w:val="16"/>
              </w:rPr>
              <w:t>单独列示，不计入指数</w:t>
            </w:r>
          </w:p>
        </w:tc>
      </w:tr>
    </w:tbl>
    <w:p w14:paraId="3EE10910">
      <w:r>
        <w:t>附带条件处理｜86家附带条件接纳采用经人工复核的编码，单独列示，不计入指数。排序按未四舍五入分数；同分依次比较最终接纳率、直接同意率和一次通话接纳率。</w:t>
      </w:r>
    </w:p>
    <w:p w14:paraId="5A25766A">
      <w:pPr>
        <w:pStyle w:val="5"/>
      </w:pPr>
      <w:bookmarkStart w:id="58" w:name="_Toc7006"/>
      <w:r>
        <w:rPr>
          <w:rFonts w:ascii="Times New Roman" w:hAnsi="Times New Roman" w:eastAsia="黑体"/>
        </w:rPr>
        <w:t>（三）直接同意率与最终拒绝率</w:t>
      </w:r>
      <w:bookmarkEnd w:id="58"/>
    </w:p>
    <w:tbl>
      <w:tblPr>
        <w:tblStyle w:val="37"/>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1465"/>
        <w:gridCol w:w="2611"/>
        <w:gridCol w:w="4204"/>
      </w:tblGrid>
      <w:tr w14:paraId="7654F3ED">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465" w:type="dxa"/>
            <w:shd w:val="clear" w:color="auto" w:fill="2C2C2C"/>
            <w:tcMar>
              <w:top w:w="90" w:type="dxa"/>
              <w:left w:w="100" w:type="dxa"/>
              <w:bottom w:w="90" w:type="dxa"/>
              <w:right w:w="100" w:type="dxa"/>
            </w:tcMar>
            <w:vAlign w:val="center"/>
          </w:tcPr>
          <w:p w14:paraId="6A3CA4E9">
            <w:pPr>
              <w:keepNext/>
              <w:spacing w:before="0" w:after="0" w:line="264" w:lineRule="auto"/>
              <w:jc w:val="center"/>
            </w:pPr>
            <w:r>
              <w:rPr>
                <w:rFonts w:eastAsia="黑体"/>
                <w:b/>
                <w:color w:val="FFFFFF"/>
                <w:sz w:val="17"/>
              </w:rPr>
              <w:t>指标</w:t>
            </w:r>
          </w:p>
        </w:tc>
        <w:tc>
          <w:tcPr>
            <w:tcW w:w="2611" w:type="dxa"/>
            <w:shd w:val="clear" w:color="auto" w:fill="2C2C2C"/>
            <w:tcMar>
              <w:top w:w="90" w:type="dxa"/>
              <w:left w:w="100" w:type="dxa"/>
              <w:bottom w:w="90" w:type="dxa"/>
              <w:right w:w="100" w:type="dxa"/>
            </w:tcMar>
            <w:vAlign w:val="center"/>
          </w:tcPr>
          <w:p w14:paraId="338F67C5">
            <w:pPr>
              <w:keepNext/>
              <w:spacing w:before="0" w:after="0" w:line="264" w:lineRule="auto"/>
              <w:jc w:val="center"/>
            </w:pPr>
            <w:r>
              <w:rPr>
                <w:rFonts w:eastAsia="黑体"/>
                <w:b/>
                <w:color w:val="FFFFFF"/>
                <w:sz w:val="17"/>
              </w:rPr>
              <w:t>计算方式</w:t>
            </w:r>
          </w:p>
        </w:tc>
        <w:tc>
          <w:tcPr>
            <w:tcW w:w="4204" w:type="dxa"/>
            <w:shd w:val="clear" w:color="auto" w:fill="2C2C2C"/>
            <w:tcMar>
              <w:top w:w="90" w:type="dxa"/>
              <w:left w:w="100" w:type="dxa"/>
              <w:bottom w:w="90" w:type="dxa"/>
              <w:right w:w="100" w:type="dxa"/>
            </w:tcMar>
            <w:vAlign w:val="center"/>
          </w:tcPr>
          <w:p w14:paraId="1F8CC457">
            <w:pPr>
              <w:keepNext/>
              <w:spacing w:before="0" w:after="0" w:line="264" w:lineRule="auto"/>
              <w:jc w:val="center"/>
            </w:pPr>
            <w:r>
              <w:rPr>
                <w:rFonts w:eastAsia="黑体"/>
                <w:b/>
                <w:color w:val="FFFFFF"/>
                <w:sz w:val="17"/>
              </w:rPr>
              <w:t>指标含义</w:t>
            </w:r>
          </w:p>
        </w:tc>
      </w:tr>
      <w:tr w14:paraId="09AC8BDE">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465" w:type="dxa"/>
            <w:shd w:val="clear" w:color="auto" w:fill="FFFFFF"/>
            <w:tcMar>
              <w:top w:w="90" w:type="dxa"/>
              <w:left w:w="100" w:type="dxa"/>
              <w:bottom w:w="90" w:type="dxa"/>
              <w:right w:w="100" w:type="dxa"/>
            </w:tcMar>
            <w:vAlign w:val="center"/>
          </w:tcPr>
          <w:p w14:paraId="341EBF63">
            <w:pPr>
              <w:spacing w:before="0" w:after="0" w:line="264" w:lineRule="auto"/>
              <w:jc w:val="center"/>
            </w:pPr>
            <w:r>
              <w:rPr>
                <w:sz w:val="17"/>
              </w:rPr>
              <w:t>直接同意率</w:t>
            </w:r>
          </w:p>
        </w:tc>
        <w:tc>
          <w:tcPr>
            <w:tcW w:w="2611" w:type="dxa"/>
            <w:shd w:val="clear" w:color="auto" w:fill="FFFFFF"/>
            <w:tcMar>
              <w:top w:w="90" w:type="dxa"/>
              <w:left w:w="100" w:type="dxa"/>
              <w:bottom w:w="90" w:type="dxa"/>
              <w:right w:w="100" w:type="dxa"/>
            </w:tcMar>
            <w:vAlign w:val="center"/>
          </w:tcPr>
          <w:p w14:paraId="1AA10F36">
            <w:pPr>
              <w:spacing w:before="0" w:after="0" w:line="264" w:lineRule="auto"/>
              <w:jc w:val="left"/>
            </w:pPr>
            <w:r>
              <w:rPr>
                <w:sz w:val="17"/>
              </w:rPr>
              <w:t>直接同意门店数 ÷ 有效反馈门店数</w:t>
            </w:r>
          </w:p>
        </w:tc>
        <w:tc>
          <w:tcPr>
            <w:tcW w:w="4204" w:type="dxa"/>
            <w:shd w:val="clear" w:color="auto" w:fill="FFFFFF"/>
            <w:tcMar>
              <w:top w:w="90" w:type="dxa"/>
              <w:left w:w="100" w:type="dxa"/>
              <w:bottom w:w="90" w:type="dxa"/>
              <w:right w:w="100" w:type="dxa"/>
            </w:tcMar>
            <w:vAlign w:val="center"/>
          </w:tcPr>
          <w:p w14:paraId="2FD140B7">
            <w:pPr>
              <w:spacing w:before="0" w:after="0" w:line="264" w:lineRule="auto"/>
              <w:jc w:val="left"/>
            </w:pPr>
            <w:r>
              <w:rPr>
                <w:sz w:val="17"/>
              </w:rPr>
              <w:t>数值越高，说明本次样本中越多门店能够在第一轮沟通中明确接纳，前置沟通负担相对较低。</w:t>
            </w:r>
          </w:p>
        </w:tc>
      </w:tr>
      <w:tr w14:paraId="7DF73718">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jc w:val="center"/>
        </w:trPr>
        <w:tc>
          <w:tcPr>
            <w:tcW w:w="1465" w:type="dxa"/>
            <w:shd w:val="clear" w:color="auto" w:fill="FAFAF8"/>
            <w:tcMar>
              <w:top w:w="90" w:type="dxa"/>
              <w:left w:w="100" w:type="dxa"/>
              <w:bottom w:w="90" w:type="dxa"/>
              <w:right w:w="100" w:type="dxa"/>
            </w:tcMar>
            <w:vAlign w:val="center"/>
          </w:tcPr>
          <w:p w14:paraId="3B7E7FE4">
            <w:pPr>
              <w:spacing w:before="0" w:after="0" w:line="264" w:lineRule="auto"/>
              <w:jc w:val="center"/>
            </w:pPr>
            <w:r>
              <w:rPr>
                <w:sz w:val="17"/>
              </w:rPr>
              <w:t>最终拒绝率</w:t>
            </w:r>
          </w:p>
        </w:tc>
        <w:tc>
          <w:tcPr>
            <w:tcW w:w="2611" w:type="dxa"/>
            <w:shd w:val="clear" w:color="auto" w:fill="FAFAF8"/>
            <w:tcMar>
              <w:top w:w="90" w:type="dxa"/>
              <w:left w:w="100" w:type="dxa"/>
              <w:bottom w:w="90" w:type="dxa"/>
              <w:right w:w="100" w:type="dxa"/>
            </w:tcMar>
            <w:vAlign w:val="center"/>
          </w:tcPr>
          <w:p w14:paraId="7EFD292A">
            <w:pPr>
              <w:spacing w:before="0" w:after="0" w:line="264" w:lineRule="auto"/>
              <w:jc w:val="left"/>
            </w:pPr>
            <w:r>
              <w:rPr>
                <w:sz w:val="17"/>
              </w:rPr>
              <w:t>最终拒绝门店数 ÷ 有效反馈门店数</w:t>
            </w:r>
          </w:p>
        </w:tc>
        <w:tc>
          <w:tcPr>
            <w:tcW w:w="4204" w:type="dxa"/>
            <w:shd w:val="clear" w:color="auto" w:fill="FAFAF8"/>
            <w:tcMar>
              <w:top w:w="90" w:type="dxa"/>
              <w:left w:w="100" w:type="dxa"/>
              <w:bottom w:w="90" w:type="dxa"/>
              <w:right w:w="100" w:type="dxa"/>
            </w:tcMar>
            <w:vAlign w:val="center"/>
          </w:tcPr>
          <w:p w14:paraId="51211A35">
            <w:pPr>
              <w:spacing w:before="0" w:after="0" w:line="264" w:lineRule="auto"/>
              <w:jc w:val="left"/>
            </w:pPr>
            <w:r>
              <w:rPr>
                <w:sz w:val="17"/>
              </w:rPr>
              <w:t>数值越高，说明本次样本中最终在电话中拒绝接待导盲犬使用者的门店比例越高。</w:t>
            </w:r>
          </w:p>
        </w:tc>
      </w:tr>
    </w:tbl>
    <w:p w14:paraId="10099DBD"/>
    <w:p w14:paraId="5BF5259D">
      <w:pPr>
        <w:pStyle w:val="5"/>
      </w:pPr>
      <w:bookmarkStart w:id="59" w:name="_Toc23501"/>
      <w:r>
        <w:rPr>
          <w:rFonts w:ascii="Times New Roman" w:hAnsi="Times New Roman" w:eastAsia="黑体"/>
        </w:rPr>
        <w:t>（四）附带条件接纳编码</w:t>
      </w:r>
      <w:bookmarkEnd w:id="59"/>
    </w:p>
    <w:tbl>
      <w:tblPr>
        <w:tblStyle w:val="37"/>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1338"/>
        <w:gridCol w:w="955"/>
        <w:gridCol w:w="955"/>
        <w:gridCol w:w="2866"/>
        <w:gridCol w:w="2166"/>
      </w:tblGrid>
      <w:tr w14:paraId="408E2100">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338" w:type="dxa"/>
            <w:shd w:val="clear" w:color="auto" w:fill="2C2C2C"/>
            <w:tcMar>
              <w:top w:w="90" w:type="dxa"/>
              <w:left w:w="100" w:type="dxa"/>
              <w:bottom w:w="90" w:type="dxa"/>
              <w:right w:w="100" w:type="dxa"/>
            </w:tcMar>
            <w:vAlign w:val="center"/>
          </w:tcPr>
          <w:p w14:paraId="66B0DC96">
            <w:pPr>
              <w:keepNext/>
              <w:spacing w:before="0" w:after="0" w:line="264" w:lineRule="auto"/>
              <w:jc w:val="center"/>
            </w:pPr>
            <w:r>
              <w:rPr>
                <w:rFonts w:eastAsia="黑体"/>
                <w:b/>
                <w:color w:val="FFFFFF"/>
                <w:sz w:val="17"/>
              </w:rPr>
              <w:t>条件类型</w:t>
            </w:r>
          </w:p>
        </w:tc>
        <w:tc>
          <w:tcPr>
            <w:tcW w:w="955" w:type="dxa"/>
            <w:shd w:val="clear" w:color="auto" w:fill="2C2C2C"/>
            <w:tcMar>
              <w:top w:w="90" w:type="dxa"/>
              <w:left w:w="100" w:type="dxa"/>
              <w:bottom w:w="90" w:type="dxa"/>
              <w:right w:w="100" w:type="dxa"/>
            </w:tcMar>
            <w:vAlign w:val="center"/>
          </w:tcPr>
          <w:p w14:paraId="2A0B5D8E">
            <w:pPr>
              <w:keepNext/>
              <w:spacing w:before="0" w:after="0" w:line="264" w:lineRule="auto"/>
              <w:jc w:val="center"/>
            </w:pPr>
            <w:r>
              <w:rPr>
                <w:rFonts w:eastAsia="黑体"/>
                <w:b/>
                <w:color w:val="FFFFFF"/>
                <w:sz w:val="17"/>
              </w:rPr>
              <w:t>门店数量</w:t>
            </w:r>
          </w:p>
        </w:tc>
        <w:tc>
          <w:tcPr>
            <w:tcW w:w="955" w:type="dxa"/>
            <w:shd w:val="clear" w:color="auto" w:fill="2C2C2C"/>
            <w:tcMar>
              <w:top w:w="90" w:type="dxa"/>
              <w:left w:w="100" w:type="dxa"/>
              <w:bottom w:w="90" w:type="dxa"/>
              <w:right w:w="100" w:type="dxa"/>
            </w:tcMar>
            <w:vAlign w:val="center"/>
          </w:tcPr>
          <w:p w14:paraId="1110DC1E">
            <w:pPr>
              <w:keepNext/>
              <w:spacing w:before="0" w:after="0" w:line="264" w:lineRule="auto"/>
              <w:jc w:val="center"/>
            </w:pPr>
            <w:r>
              <w:rPr>
                <w:rFonts w:eastAsia="黑体"/>
                <w:b/>
                <w:color w:val="FFFFFF"/>
                <w:sz w:val="17"/>
              </w:rPr>
              <w:t>比例</w:t>
            </w:r>
          </w:p>
        </w:tc>
        <w:tc>
          <w:tcPr>
            <w:tcW w:w="2866" w:type="dxa"/>
            <w:shd w:val="clear" w:color="auto" w:fill="2C2C2C"/>
            <w:tcMar>
              <w:top w:w="90" w:type="dxa"/>
              <w:left w:w="100" w:type="dxa"/>
              <w:bottom w:w="90" w:type="dxa"/>
              <w:right w:w="100" w:type="dxa"/>
            </w:tcMar>
            <w:vAlign w:val="center"/>
          </w:tcPr>
          <w:p w14:paraId="4ED921F8">
            <w:pPr>
              <w:keepNext/>
              <w:spacing w:before="0" w:after="0" w:line="264" w:lineRule="auto"/>
              <w:jc w:val="center"/>
            </w:pPr>
            <w:r>
              <w:rPr>
                <w:rFonts w:eastAsia="黑体"/>
                <w:b/>
                <w:color w:val="FFFFFF"/>
                <w:sz w:val="17"/>
              </w:rPr>
              <w:t>判断标准</w:t>
            </w:r>
          </w:p>
        </w:tc>
        <w:tc>
          <w:tcPr>
            <w:tcW w:w="2166" w:type="dxa"/>
            <w:shd w:val="clear" w:color="auto" w:fill="2C2C2C"/>
            <w:tcMar>
              <w:top w:w="90" w:type="dxa"/>
              <w:left w:w="100" w:type="dxa"/>
              <w:bottom w:w="90" w:type="dxa"/>
              <w:right w:w="100" w:type="dxa"/>
            </w:tcMar>
            <w:vAlign w:val="center"/>
          </w:tcPr>
          <w:p w14:paraId="7AF91456">
            <w:pPr>
              <w:keepNext/>
              <w:spacing w:before="0" w:after="0" w:line="264" w:lineRule="auto"/>
              <w:jc w:val="center"/>
            </w:pPr>
            <w:r>
              <w:rPr>
                <w:rFonts w:eastAsia="黑体"/>
                <w:b/>
                <w:color w:val="FFFFFF"/>
                <w:sz w:val="17"/>
              </w:rPr>
              <w:t>示例表达</w:t>
            </w:r>
          </w:p>
        </w:tc>
      </w:tr>
      <w:tr w14:paraId="3F693800">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38" w:type="dxa"/>
            <w:shd w:val="clear" w:color="auto" w:fill="FFFFFF"/>
            <w:tcMar>
              <w:top w:w="90" w:type="dxa"/>
              <w:left w:w="100" w:type="dxa"/>
              <w:bottom w:w="90" w:type="dxa"/>
              <w:right w:w="100" w:type="dxa"/>
            </w:tcMar>
            <w:vAlign w:val="center"/>
          </w:tcPr>
          <w:p w14:paraId="2794DD49">
            <w:pPr>
              <w:spacing w:before="0" w:after="0" w:line="264" w:lineRule="auto"/>
              <w:jc w:val="center"/>
            </w:pPr>
            <w:r>
              <w:rPr>
                <w:sz w:val="17"/>
              </w:rPr>
              <w:t>额外押金或清洁费</w:t>
            </w:r>
          </w:p>
        </w:tc>
        <w:tc>
          <w:tcPr>
            <w:tcW w:w="955" w:type="dxa"/>
            <w:shd w:val="clear" w:color="auto" w:fill="FFFFFF"/>
            <w:tcMar>
              <w:top w:w="90" w:type="dxa"/>
              <w:left w:w="100" w:type="dxa"/>
              <w:bottom w:w="90" w:type="dxa"/>
              <w:right w:w="100" w:type="dxa"/>
            </w:tcMar>
            <w:vAlign w:val="center"/>
          </w:tcPr>
          <w:p w14:paraId="14F9FCA9">
            <w:pPr>
              <w:spacing w:before="0" w:after="0" w:line="264" w:lineRule="auto"/>
              <w:jc w:val="center"/>
            </w:pPr>
            <w:r>
              <w:rPr>
                <w:sz w:val="17"/>
              </w:rPr>
              <w:t>50家</w:t>
            </w:r>
          </w:p>
        </w:tc>
        <w:tc>
          <w:tcPr>
            <w:tcW w:w="955" w:type="dxa"/>
            <w:shd w:val="clear" w:color="auto" w:fill="FFFFFF"/>
            <w:tcMar>
              <w:top w:w="90" w:type="dxa"/>
              <w:left w:w="100" w:type="dxa"/>
              <w:bottom w:w="90" w:type="dxa"/>
              <w:right w:w="100" w:type="dxa"/>
            </w:tcMar>
            <w:vAlign w:val="center"/>
          </w:tcPr>
          <w:p w14:paraId="555E8947">
            <w:pPr>
              <w:spacing w:before="0" w:after="0" w:line="264" w:lineRule="auto"/>
              <w:jc w:val="center"/>
            </w:pPr>
            <w:r>
              <w:rPr>
                <w:sz w:val="17"/>
              </w:rPr>
              <w:t>58.1%</w:t>
            </w:r>
          </w:p>
        </w:tc>
        <w:tc>
          <w:tcPr>
            <w:tcW w:w="2866" w:type="dxa"/>
            <w:shd w:val="clear" w:color="auto" w:fill="FFFFFF"/>
            <w:tcMar>
              <w:top w:w="90" w:type="dxa"/>
              <w:left w:w="100" w:type="dxa"/>
              <w:bottom w:w="90" w:type="dxa"/>
              <w:right w:w="100" w:type="dxa"/>
            </w:tcMar>
            <w:vAlign w:val="center"/>
          </w:tcPr>
          <w:p w14:paraId="26C5573D">
            <w:pPr>
              <w:spacing w:before="0" w:after="0" w:line="264" w:lineRule="auto"/>
              <w:jc w:val="left"/>
            </w:pPr>
            <w:r>
              <w:rPr>
                <w:sz w:val="17"/>
              </w:rPr>
              <w:t>门店要求导盲犬入住额外缴纳押金、清洁费，或将导盲犬入住套用宠物收费规则，收费200-500元不等</w:t>
            </w:r>
          </w:p>
        </w:tc>
        <w:tc>
          <w:tcPr>
            <w:tcW w:w="2166" w:type="dxa"/>
            <w:shd w:val="clear" w:color="auto" w:fill="FFFFFF"/>
            <w:tcMar>
              <w:top w:w="90" w:type="dxa"/>
              <w:left w:w="100" w:type="dxa"/>
              <w:bottom w:w="90" w:type="dxa"/>
              <w:right w:w="100" w:type="dxa"/>
            </w:tcMar>
            <w:vAlign w:val="center"/>
          </w:tcPr>
          <w:p w14:paraId="7BB08EF5">
            <w:pPr>
              <w:spacing w:before="0" w:after="0" w:line="264" w:lineRule="auto"/>
              <w:jc w:val="left"/>
            </w:pPr>
            <w:r>
              <w:rPr>
                <w:sz w:val="17"/>
              </w:rPr>
              <w:t>“要交押金”“需要清洁费”“按宠物入住收费”“宠物友好房要收费”</w:t>
            </w:r>
          </w:p>
        </w:tc>
      </w:tr>
      <w:tr w14:paraId="346F36B6">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38" w:type="dxa"/>
            <w:shd w:val="clear" w:color="auto" w:fill="FAFAF8"/>
            <w:tcMar>
              <w:top w:w="90" w:type="dxa"/>
              <w:left w:w="100" w:type="dxa"/>
              <w:bottom w:w="90" w:type="dxa"/>
              <w:right w:w="100" w:type="dxa"/>
            </w:tcMar>
            <w:vAlign w:val="center"/>
          </w:tcPr>
          <w:p w14:paraId="42964086">
            <w:pPr>
              <w:spacing w:before="0" w:after="0" w:line="264" w:lineRule="auto"/>
              <w:jc w:val="center"/>
            </w:pPr>
            <w:r>
              <w:rPr>
                <w:sz w:val="17"/>
              </w:rPr>
              <w:t>行为限制</w:t>
            </w:r>
          </w:p>
        </w:tc>
        <w:tc>
          <w:tcPr>
            <w:tcW w:w="955" w:type="dxa"/>
            <w:shd w:val="clear" w:color="auto" w:fill="FAFAF8"/>
            <w:tcMar>
              <w:top w:w="90" w:type="dxa"/>
              <w:left w:w="100" w:type="dxa"/>
              <w:bottom w:w="90" w:type="dxa"/>
              <w:right w:w="100" w:type="dxa"/>
            </w:tcMar>
            <w:vAlign w:val="center"/>
          </w:tcPr>
          <w:p w14:paraId="19363D6F">
            <w:pPr>
              <w:spacing w:before="0" w:after="0" w:line="264" w:lineRule="auto"/>
              <w:jc w:val="center"/>
            </w:pPr>
            <w:r>
              <w:rPr>
                <w:sz w:val="17"/>
              </w:rPr>
              <w:t>26家</w:t>
            </w:r>
          </w:p>
        </w:tc>
        <w:tc>
          <w:tcPr>
            <w:tcW w:w="955" w:type="dxa"/>
            <w:shd w:val="clear" w:color="auto" w:fill="FAFAF8"/>
            <w:tcMar>
              <w:top w:w="90" w:type="dxa"/>
              <w:left w:w="100" w:type="dxa"/>
              <w:bottom w:w="90" w:type="dxa"/>
              <w:right w:w="100" w:type="dxa"/>
            </w:tcMar>
            <w:vAlign w:val="center"/>
          </w:tcPr>
          <w:p w14:paraId="50DF7C40">
            <w:pPr>
              <w:spacing w:before="0" w:after="0" w:line="264" w:lineRule="auto"/>
              <w:jc w:val="center"/>
            </w:pPr>
            <w:r>
              <w:rPr>
                <w:sz w:val="17"/>
              </w:rPr>
              <w:t>30.2%</w:t>
            </w:r>
          </w:p>
        </w:tc>
        <w:tc>
          <w:tcPr>
            <w:tcW w:w="2866" w:type="dxa"/>
            <w:shd w:val="clear" w:color="auto" w:fill="FAFAF8"/>
            <w:tcMar>
              <w:top w:w="90" w:type="dxa"/>
              <w:left w:w="100" w:type="dxa"/>
              <w:bottom w:w="90" w:type="dxa"/>
              <w:right w:w="100" w:type="dxa"/>
            </w:tcMar>
            <w:vAlign w:val="center"/>
          </w:tcPr>
          <w:p w14:paraId="28AE948B">
            <w:pPr>
              <w:spacing w:before="0" w:after="0" w:line="264" w:lineRule="auto"/>
              <w:jc w:val="left"/>
            </w:pPr>
            <w:r>
              <w:rPr>
                <w:sz w:val="17"/>
              </w:rPr>
              <w:t>门店要求导盲犬晚上不叫、不上床、不破坏物品、不在房间大小便</w:t>
            </w:r>
          </w:p>
        </w:tc>
        <w:tc>
          <w:tcPr>
            <w:tcW w:w="2166" w:type="dxa"/>
            <w:shd w:val="clear" w:color="auto" w:fill="FAFAF8"/>
            <w:tcMar>
              <w:top w:w="90" w:type="dxa"/>
              <w:left w:w="100" w:type="dxa"/>
              <w:bottom w:w="90" w:type="dxa"/>
              <w:right w:w="100" w:type="dxa"/>
            </w:tcMar>
            <w:vAlign w:val="center"/>
          </w:tcPr>
          <w:p w14:paraId="4C85648C">
            <w:pPr>
              <w:spacing w:before="0" w:after="0" w:line="264" w:lineRule="auto"/>
              <w:jc w:val="left"/>
            </w:pPr>
            <w:r>
              <w:rPr>
                <w:sz w:val="17"/>
              </w:rPr>
              <w:t>“晚上不能叫”“不能上床”“不能咬坏东西”“不能在房间大小便”</w:t>
            </w:r>
          </w:p>
        </w:tc>
      </w:tr>
      <w:tr w14:paraId="3B2D3880">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38" w:type="dxa"/>
            <w:shd w:val="clear" w:color="auto" w:fill="FFFFFF"/>
            <w:tcMar>
              <w:top w:w="90" w:type="dxa"/>
              <w:left w:w="100" w:type="dxa"/>
              <w:bottom w:w="90" w:type="dxa"/>
              <w:right w:w="100" w:type="dxa"/>
            </w:tcMar>
            <w:vAlign w:val="center"/>
          </w:tcPr>
          <w:p w14:paraId="2992B484">
            <w:pPr>
              <w:spacing w:before="0" w:after="0" w:line="264" w:lineRule="auto"/>
              <w:jc w:val="center"/>
            </w:pPr>
            <w:r>
              <w:rPr>
                <w:sz w:val="17"/>
              </w:rPr>
              <w:t>签署免责协议</w:t>
            </w:r>
          </w:p>
        </w:tc>
        <w:tc>
          <w:tcPr>
            <w:tcW w:w="955" w:type="dxa"/>
            <w:shd w:val="clear" w:color="auto" w:fill="FFFFFF"/>
            <w:tcMar>
              <w:top w:w="90" w:type="dxa"/>
              <w:left w:w="100" w:type="dxa"/>
              <w:bottom w:w="90" w:type="dxa"/>
              <w:right w:w="100" w:type="dxa"/>
            </w:tcMar>
            <w:vAlign w:val="center"/>
          </w:tcPr>
          <w:p w14:paraId="7C2401F8">
            <w:pPr>
              <w:spacing w:before="0" w:after="0" w:line="264" w:lineRule="auto"/>
              <w:jc w:val="center"/>
            </w:pPr>
            <w:r>
              <w:rPr>
                <w:sz w:val="17"/>
              </w:rPr>
              <w:t>13家</w:t>
            </w:r>
          </w:p>
        </w:tc>
        <w:tc>
          <w:tcPr>
            <w:tcW w:w="955" w:type="dxa"/>
            <w:shd w:val="clear" w:color="auto" w:fill="FFFFFF"/>
            <w:tcMar>
              <w:top w:w="90" w:type="dxa"/>
              <w:left w:w="100" w:type="dxa"/>
              <w:bottom w:w="90" w:type="dxa"/>
              <w:right w:w="100" w:type="dxa"/>
            </w:tcMar>
            <w:vAlign w:val="center"/>
          </w:tcPr>
          <w:p w14:paraId="0C6C7504">
            <w:pPr>
              <w:spacing w:before="0" w:after="0" w:line="264" w:lineRule="auto"/>
              <w:jc w:val="center"/>
            </w:pPr>
            <w:r>
              <w:rPr>
                <w:sz w:val="17"/>
              </w:rPr>
              <w:t>15.1%</w:t>
            </w:r>
          </w:p>
        </w:tc>
        <w:tc>
          <w:tcPr>
            <w:tcW w:w="2866" w:type="dxa"/>
            <w:shd w:val="clear" w:color="auto" w:fill="FFFFFF"/>
            <w:tcMar>
              <w:top w:w="90" w:type="dxa"/>
              <w:left w:w="100" w:type="dxa"/>
              <w:bottom w:w="90" w:type="dxa"/>
              <w:right w:w="100" w:type="dxa"/>
            </w:tcMar>
            <w:vAlign w:val="center"/>
          </w:tcPr>
          <w:p w14:paraId="37D1DFEA">
            <w:pPr>
              <w:spacing w:before="0" w:after="0" w:line="264" w:lineRule="auto"/>
              <w:jc w:val="left"/>
            </w:pPr>
            <w:r>
              <w:rPr>
                <w:sz w:val="17"/>
              </w:rPr>
              <w:t>门店要求导盲犬使用者入住前签署责任说明、承诺书、免责协议</w:t>
            </w:r>
          </w:p>
        </w:tc>
        <w:tc>
          <w:tcPr>
            <w:tcW w:w="2166" w:type="dxa"/>
            <w:shd w:val="clear" w:color="auto" w:fill="FFFFFF"/>
            <w:tcMar>
              <w:top w:w="90" w:type="dxa"/>
              <w:left w:w="100" w:type="dxa"/>
              <w:bottom w:w="90" w:type="dxa"/>
              <w:right w:w="100" w:type="dxa"/>
            </w:tcMar>
            <w:vAlign w:val="center"/>
          </w:tcPr>
          <w:p w14:paraId="0987D619">
            <w:pPr>
              <w:spacing w:before="0" w:after="0" w:line="264" w:lineRule="auto"/>
              <w:jc w:val="left"/>
            </w:pPr>
            <w:r>
              <w:rPr>
                <w:sz w:val="17"/>
              </w:rPr>
              <w:t>“需要签协议”“要签免责书”“要签责任承诺”</w:t>
            </w:r>
          </w:p>
        </w:tc>
      </w:tr>
      <w:tr w14:paraId="4F938695">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38" w:type="dxa"/>
            <w:shd w:val="clear" w:color="auto" w:fill="FAFAF8"/>
            <w:tcMar>
              <w:top w:w="90" w:type="dxa"/>
              <w:left w:w="100" w:type="dxa"/>
              <w:bottom w:w="90" w:type="dxa"/>
              <w:right w:w="100" w:type="dxa"/>
            </w:tcMar>
            <w:vAlign w:val="center"/>
          </w:tcPr>
          <w:p w14:paraId="50DD61E9">
            <w:pPr>
              <w:spacing w:before="0" w:after="0" w:line="264" w:lineRule="auto"/>
              <w:jc w:val="center"/>
            </w:pPr>
            <w:r>
              <w:rPr>
                <w:sz w:val="17"/>
              </w:rPr>
              <w:t>限制活动范围</w:t>
            </w:r>
          </w:p>
        </w:tc>
        <w:tc>
          <w:tcPr>
            <w:tcW w:w="955" w:type="dxa"/>
            <w:shd w:val="clear" w:color="auto" w:fill="FAFAF8"/>
            <w:tcMar>
              <w:top w:w="90" w:type="dxa"/>
              <w:left w:w="100" w:type="dxa"/>
              <w:bottom w:w="90" w:type="dxa"/>
              <w:right w:w="100" w:type="dxa"/>
            </w:tcMar>
            <w:vAlign w:val="center"/>
          </w:tcPr>
          <w:p w14:paraId="5802188F">
            <w:pPr>
              <w:spacing w:before="0" w:after="0" w:line="264" w:lineRule="auto"/>
              <w:jc w:val="center"/>
            </w:pPr>
            <w:r>
              <w:rPr>
                <w:sz w:val="17"/>
              </w:rPr>
              <w:t>12家</w:t>
            </w:r>
          </w:p>
        </w:tc>
        <w:tc>
          <w:tcPr>
            <w:tcW w:w="955" w:type="dxa"/>
            <w:shd w:val="clear" w:color="auto" w:fill="FAFAF8"/>
            <w:tcMar>
              <w:top w:w="90" w:type="dxa"/>
              <w:left w:w="100" w:type="dxa"/>
              <w:bottom w:w="90" w:type="dxa"/>
              <w:right w:w="100" w:type="dxa"/>
            </w:tcMar>
            <w:vAlign w:val="center"/>
          </w:tcPr>
          <w:p w14:paraId="63751BE2">
            <w:pPr>
              <w:spacing w:before="0" w:after="0" w:line="264" w:lineRule="auto"/>
              <w:jc w:val="center"/>
            </w:pPr>
            <w:r>
              <w:rPr>
                <w:sz w:val="17"/>
              </w:rPr>
              <w:t>14.0%</w:t>
            </w:r>
          </w:p>
        </w:tc>
        <w:tc>
          <w:tcPr>
            <w:tcW w:w="2866" w:type="dxa"/>
            <w:shd w:val="clear" w:color="auto" w:fill="FAFAF8"/>
            <w:tcMar>
              <w:top w:w="90" w:type="dxa"/>
              <w:left w:w="100" w:type="dxa"/>
              <w:bottom w:w="90" w:type="dxa"/>
              <w:right w:w="100" w:type="dxa"/>
            </w:tcMar>
            <w:vAlign w:val="center"/>
          </w:tcPr>
          <w:p w14:paraId="1EBBA98F">
            <w:pPr>
              <w:spacing w:before="0" w:after="0" w:line="264" w:lineRule="auto"/>
              <w:jc w:val="left"/>
            </w:pPr>
            <w:r>
              <w:rPr>
                <w:sz w:val="17"/>
              </w:rPr>
              <w:t>门店限制导盲犬进入酒店公共区域、餐厅、电梯、走廊或其他空间，或要求导盲犬尽量停留在房间内</w:t>
            </w:r>
          </w:p>
        </w:tc>
        <w:tc>
          <w:tcPr>
            <w:tcW w:w="2166" w:type="dxa"/>
            <w:shd w:val="clear" w:color="auto" w:fill="FAFAF8"/>
            <w:tcMar>
              <w:top w:w="90" w:type="dxa"/>
              <w:left w:w="100" w:type="dxa"/>
              <w:bottom w:w="90" w:type="dxa"/>
              <w:right w:w="100" w:type="dxa"/>
            </w:tcMar>
            <w:vAlign w:val="center"/>
          </w:tcPr>
          <w:p w14:paraId="2064A17A">
            <w:pPr>
              <w:spacing w:before="0" w:after="0" w:line="264" w:lineRule="auto"/>
              <w:jc w:val="left"/>
            </w:pPr>
            <w:r>
              <w:rPr>
                <w:sz w:val="17"/>
              </w:rPr>
              <w:t>“只能在房间”“不能去公共区域”“不能进餐厅”“尽量不要出来”</w:t>
            </w:r>
          </w:p>
        </w:tc>
      </w:tr>
      <w:tr w14:paraId="0C45B097">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338" w:type="dxa"/>
            <w:shd w:val="clear" w:color="auto" w:fill="FFFFFF"/>
            <w:tcMar>
              <w:top w:w="90" w:type="dxa"/>
              <w:left w:w="100" w:type="dxa"/>
              <w:bottom w:w="90" w:type="dxa"/>
              <w:right w:w="100" w:type="dxa"/>
            </w:tcMar>
            <w:vAlign w:val="center"/>
          </w:tcPr>
          <w:p w14:paraId="699EE3FC">
            <w:pPr>
              <w:spacing w:before="0" w:after="0" w:line="264" w:lineRule="auto"/>
              <w:jc w:val="center"/>
            </w:pPr>
            <w:r>
              <w:rPr>
                <w:sz w:val="17"/>
              </w:rPr>
              <w:t>区别性房间安排</w:t>
            </w:r>
          </w:p>
        </w:tc>
        <w:tc>
          <w:tcPr>
            <w:tcW w:w="955" w:type="dxa"/>
            <w:shd w:val="clear" w:color="auto" w:fill="FFFFFF"/>
            <w:tcMar>
              <w:top w:w="90" w:type="dxa"/>
              <w:left w:w="100" w:type="dxa"/>
              <w:bottom w:w="90" w:type="dxa"/>
              <w:right w:w="100" w:type="dxa"/>
            </w:tcMar>
            <w:vAlign w:val="center"/>
          </w:tcPr>
          <w:p w14:paraId="0F9D1CEE">
            <w:pPr>
              <w:spacing w:before="0" w:after="0" w:line="264" w:lineRule="auto"/>
              <w:jc w:val="center"/>
            </w:pPr>
            <w:r>
              <w:rPr>
                <w:sz w:val="17"/>
              </w:rPr>
              <w:t>7家</w:t>
            </w:r>
          </w:p>
        </w:tc>
        <w:tc>
          <w:tcPr>
            <w:tcW w:w="955" w:type="dxa"/>
            <w:shd w:val="clear" w:color="auto" w:fill="FFFFFF"/>
            <w:tcMar>
              <w:top w:w="90" w:type="dxa"/>
              <w:left w:w="100" w:type="dxa"/>
              <w:bottom w:w="90" w:type="dxa"/>
              <w:right w:w="100" w:type="dxa"/>
            </w:tcMar>
            <w:vAlign w:val="center"/>
          </w:tcPr>
          <w:p w14:paraId="196B9CE5">
            <w:pPr>
              <w:spacing w:before="0" w:after="0" w:line="264" w:lineRule="auto"/>
              <w:jc w:val="center"/>
            </w:pPr>
            <w:r>
              <w:rPr>
                <w:sz w:val="17"/>
              </w:rPr>
              <w:t>8.1%</w:t>
            </w:r>
          </w:p>
        </w:tc>
        <w:tc>
          <w:tcPr>
            <w:tcW w:w="2866" w:type="dxa"/>
            <w:shd w:val="clear" w:color="auto" w:fill="FFFFFF"/>
            <w:tcMar>
              <w:top w:w="90" w:type="dxa"/>
              <w:left w:w="100" w:type="dxa"/>
              <w:bottom w:w="90" w:type="dxa"/>
              <w:right w:w="100" w:type="dxa"/>
            </w:tcMar>
            <w:vAlign w:val="center"/>
          </w:tcPr>
          <w:p w14:paraId="506ECD24">
            <w:pPr>
              <w:spacing w:before="0" w:after="0" w:line="264" w:lineRule="auto"/>
              <w:jc w:val="left"/>
            </w:pPr>
            <w:r>
              <w:rPr>
                <w:sz w:val="17"/>
              </w:rPr>
              <w:t>门店要求将导盲犬使用者安排至特定房间或相对边缘的位置，如尾房、一楼、远离其他住客、老旧房间、非地毯房间等</w:t>
            </w:r>
          </w:p>
        </w:tc>
        <w:tc>
          <w:tcPr>
            <w:tcW w:w="2166" w:type="dxa"/>
            <w:shd w:val="clear" w:color="auto" w:fill="FFFFFF"/>
            <w:tcMar>
              <w:top w:w="90" w:type="dxa"/>
              <w:left w:w="100" w:type="dxa"/>
              <w:bottom w:w="90" w:type="dxa"/>
              <w:right w:w="100" w:type="dxa"/>
            </w:tcMar>
            <w:vAlign w:val="center"/>
          </w:tcPr>
          <w:p w14:paraId="45C0B0A6">
            <w:pPr>
              <w:spacing w:before="0" w:after="0" w:line="264" w:lineRule="auto"/>
              <w:jc w:val="left"/>
            </w:pPr>
            <w:r>
              <w:rPr>
                <w:sz w:val="17"/>
              </w:rPr>
              <w:t>“只能安排尾房”“安排远一点的房间”“只能住一楼”“安排木地板房间”</w:t>
            </w:r>
          </w:p>
        </w:tc>
      </w:tr>
    </w:tbl>
    <w:p w14:paraId="689453FD"/>
    <w:p w14:paraId="1D670786">
      <w:pPr>
        <w:pStyle w:val="174"/>
      </w:pPr>
      <w:r>
        <w:t>统计口径｜同一家门店可能同时提出多项要求，例如既要求缴纳押金，又要求导盲犬不得上床或需签署免责协议。附带条件采用多选编码，一家门店可以计入多个类别。各类别占比均以86家有条件同意门店为分母，各项比例相加可能超过100%。</w:t>
      </w:r>
    </w:p>
    <w:p w14:paraId="149867C4">
      <w:pPr>
        <w:pStyle w:val="5"/>
      </w:pPr>
      <w:bookmarkStart w:id="60" w:name="_Toc9257"/>
      <w:r>
        <w:rPr>
          <w:rFonts w:ascii="Times New Roman" w:hAnsi="Times New Roman" w:eastAsia="黑体"/>
        </w:rPr>
        <w:t>（五）品牌政策信息清晰度评分</w:t>
      </w:r>
      <w:bookmarkEnd w:id="60"/>
    </w:p>
    <w:tbl>
      <w:tblPr>
        <w:tblStyle w:val="37"/>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965"/>
        <w:gridCol w:w="1531"/>
        <w:gridCol w:w="2269"/>
        <w:gridCol w:w="1644"/>
        <w:gridCol w:w="1871"/>
      </w:tblGrid>
      <w:tr w14:paraId="3D5611A1">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964" w:type="dxa"/>
            <w:shd w:val="clear" w:color="auto" w:fill="2C2C2C"/>
            <w:tcMar>
              <w:top w:w="90" w:type="dxa"/>
              <w:left w:w="100" w:type="dxa"/>
              <w:bottom w:w="90" w:type="dxa"/>
              <w:right w:w="100" w:type="dxa"/>
            </w:tcMar>
            <w:vAlign w:val="center"/>
          </w:tcPr>
          <w:p w14:paraId="35D173A4">
            <w:pPr>
              <w:keepNext/>
              <w:spacing w:before="0" w:after="0" w:line="269" w:lineRule="auto"/>
              <w:jc w:val="center"/>
            </w:pPr>
            <w:r>
              <w:rPr>
                <w:rFonts w:eastAsia="黑体"/>
                <w:b/>
                <w:color w:val="FFFFFF"/>
                <w:sz w:val="17"/>
              </w:rPr>
              <w:t>指标</w:t>
            </w:r>
          </w:p>
        </w:tc>
        <w:tc>
          <w:tcPr>
            <w:tcW w:w="1531" w:type="dxa"/>
            <w:shd w:val="clear" w:color="auto" w:fill="2C2C2C"/>
            <w:tcMar>
              <w:top w:w="90" w:type="dxa"/>
              <w:left w:w="100" w:type="dxa"/>
              <w:bottom w:w="90" w:type="dxa"/>
              <w:right w:w="100" w:type="dxa"/>
            </w:tcMar>
            <w:vAlign w:val="center"/>
          </w:tcPr>
          <w:p w14:paraId="3F4E1F36">
            <w:pPr>
              <w:keepNext/>
              <w:spacing w:before="0" w:after="0" w:line="269" w:lineRule="auto"/>
              <w:jc w:val="center"/>
            </w:pPr>
            <w:r>
              <w:rPr>
                <w:rFonts w:eastAsia="黑体"/>
                <w:b/>
                <w:color w:val="FFFFFF"/>
                <w:sz w:val="17"/>
              </w:rPr>
              <w:t>评分对象</w:t>
            </w:r>
          </w:p>
        </w:tc>
        <w:tc>
          <w:tcPr>
            <w:tcW w:w="2268" w:type="dxa"/>
            <w:shd w:val="clear" w:color="auto" w:fill="2C2C2C"/>
            <w:tcMar>
              <w:top w:w="90" w:type="dxa"/>
              <w:left w:w="100" w:type="dxa"/>
              <w:bottom w:w="90" w:type="dxa"/>
              <w:right w:w="100" w:type="dxa"/>
            </w:tcMar>
            <w:vAlign w:val="center"/>
          </w:tcPr>
          <w:p w14:paraId="33104325">
            <w:pPr>
              <w:keepNext/>
              <w:spacing w:before="0" w:after="0" w:line="269" w:lineRule="auto"/>
              <w:jc w:val="center"/>
            </w:pPr>
            <w:r>
              <w:rPr>
                <w:rFonts w:eastAsia="黑体"/>
                <w:b/>
                <w:color w:val="FFFFFF"/>
                <w:sz w:val="17"/>
              </w:rPr>
              <w:t>原始判断标准</w:t>
            </w:r>
          </w:p>
        </w:tc>
        <w:tc>
          <w:tcPr>
            <w:tcW w:w="1644" w:type="dxa"/>
            <w:shd w:val="clear" w:color="auto" w:fill="2C2C2C"/>
            <w:tcMar>
              <w:top w:w="90" w:type="dxa"/>
              <w:left w:w="100" w:type="dxa"/>
              <w:bottom w:w="90" w:type="dxa"/>
              <w:right w:w="100" w:type="dxa"/>
            </w:tcMar>
            <w:vAlign w:val="center"/>
          </w:tcPr>
          <w:p w14:paraId="11ECA4D5">
            <w:pPr>
              <w:keepNext/>
              <w:spacing w:before="0" w:after="0" w:line="269" w:lineRule="auto"/>
              <w:jc w:val="center"/>
            </w:pPr>
            <w:r>
              <w:rPr>
                <w:rFonts w:eastAsia="黑体"/>
                <w:b/>
                <w:color w:val="FFFFFF"/>
                <w:sz w:val="17"/>
              </w:rPr>
              <w:t>赋分方式</w:t>
            </w:r>
          </w:p>
        </w:tc>
        <w:tc>
          <w:tcPr>
            <w:tcW w:w="1871" w:type="dxa"/>
            <w:shd w:val="clear" w:color="auto" w:fill="2C2C2C"/>
            <w:tcMar>
              <w:top w:w="90" w:type="dxa"/>
              <w:left w:w="100" w:type="dxa"/>
              <w:bottom w:w="90" w:type="dxa"/>
              <w:right w:w="100" w:type="dxa"/>
            </w:tcMar>
            <w:vAlign w:val="center"/>
          </w:tcPr>
          <w:p w14:paraId="3E7C304F">
            <w:pPr>
              <w:keepNext/>
              <w:spacing w:before="0" w:after="0" w:line="269" w:lineRule="auto"/>
              <w:jc w:val="center"/>
            </w:pPr>
            <w:r>
              <w:rPr>
                <w:rFonts w:eastAsia="黑体"/>
                <w:b/>
                <w:color w:val="FFFFFF"/>
                <w:sz w:val="17"/>
              </w:rPr>
              <w:t>指标含义</w:t>
            </w:r>
          </w:p>
        </w:tc>
      </w:tr>
      <w:tr w14:paraId="563CF70F">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964" w:type="dxa"/>
            <w:shd w:val="clear" w:color="auto" w:fill="FFFFFF"/>
            <w:tcMar>
              <w:top w:w="90" w:type="dxa"/>
              <w:left w:w="100" w:type="dxa"/>
              <w:bottom w:w="90" w:type="dxa"/>
              <w:right w:w="100" w:type="dxa"/>
            </w:tcMar>
            <w:vAlign w:val="center"/>
          </w:tcPr>
          <w:p w14:paraId="29EF198B">
            <w:pPr>
              <w:spacing w:before="0" w:after="0" w:line="269" w:lineRule="auto"/>
              <w:jc w:val="center"/>
            </w:pPr>
            <w:r>
              <w:rPr>
                <w:sz w:val="17"/>
              </w:rPr>
              <w:t>指标1：</w:t>
            </w:r>
            <w:r>
              <w:rPr>
                <w:sz w:val="17"/>
              </w:rPr>
              <w:br w:type="textWrapping"/>
            </w:r>
            <w:r>
              <w:rPr>
                <w:sz w:val="17"/>
              </w:rPr>
              <w:t>平台落实度</w:t>
            </w:r>
          </w:p>
        </w:tc>
        <w:tc>
          <w:tcPr>
            <w:tcW w:w="1531" w:type="dxa"/>
            <w:shd w:val="clear" w:color="auto" w:fill="FFFFFF"/>
            <w:tcMar>
              <w:top w:w="90" w:type="dxa"/>
              <w:left w:w="100" w:type="dxa"/>
              <w:bottom w:w="90" w:type="dxa"/>
              <w:right w:w="100" w:type="dxa"/>
            </w:tcMar>
            <w:vAlign w:val="center"/>
          </w:tcPr>
          <w:p w14:paraId="54B3AAFC">
            <w:pPr>
              <w:spacing w:before="0" w:after="0" w:line="269" w:lineRule="auto"/>
              <w:jc w:val="left"/>
            </w:pPr>
            <w:r>
              <w:rPr>
                <w:sz w:val="17"/>
              </w:rPr>
              <w:t>各品牌样本门店在预订平台上服务犬或导盲犬标注情况</w:t>
            </w:r>
          </w:p>
        </w:tc>
        <w:tc>
          <w:tcPr>
            <w:tcW w:w="2268" w:type="dxa"/>
            <w:shd w:val="clear" w:color="auto" w:fill="FFFFFF"/>
            <w:tcMar>
              <w:top w:w="90" w:type="dxa"/>
              <w:left w:w="100" w:type="dxa"/>
              <w:bottom w:w="90" w:type="dxa"/>
              <w:right w:w="100" w:type="dxa"/>
            </w:tcMar>
            <w:vAlign w:val="center"/>
          </w:tcPr>
          <w:p w14:paraId="0BB355F3">
            <w:pPr>
              <w:spacing w:before="0" w:after="0" w:line="269" w:lineRule="auto"/>
              <w:jc w:val="left"/>
            </w:pPr>
            <w:r>
              <w:rPr>
                <w:sz w:val="17"/>
              </w:rPr>
              <w:t>以门店为单位进行初始记录：明确允许导盲犬或服务型动物入住，记为1分；未明确说明、信息缺失或表述模糊，记为0分；明确标注禁止携带服务型动物或出现类似拒绝性表述，记为-1分。随后计算各品牌门店的算术平均值</w:t>
            </w:r>
          </w:p>
        </w:tc>
        <w:tc>
          <w:tcPr>
            <w:tcW w:w="1644" w:type="dxa"/>
            <w:shd w:val="clear" w:color="auto" w:fill="FFFFFF"/>
            <w:tcMar>
              <w:top w:w="90" w:type="dxa"/>
              <w:left w:w="100" w:type="dxa"/>
              <w:bottom w:w="90" w:type="dxa"/>
              <w:right w:w="100" w:type="dxa"/>
            </w:tcMar>
            <w:vAlign w:val="center"/>
          </w:tcPr>
          <w:p w14:paraId="79F4FAEE">
            <w:pPr>
              <w:spacing w:before="0" w:after="0" w:line="269" w:lineRule="auto"/>
              <w:jc w:val="left"/>
            </w:pPr>
            <w:r>
              <w:rPr>
                <w:sz w:val="17"/>
              </w:rPr>
              <w:t>由于该指标先形成品牌均值，若直接与其他离散指标相加，平台端表现的区分度会被削弱，因此采用区间阈值映射法：品牌均值≥0.10，得2分；0.00≤品牌均值＜0.10，得1分；-0.10＜品牌均值＜0.00，得-1分；品牌均值≤-0.10，得-2分</w:t>
            </w:r>
          </w:p>
        </w:tc>
        <w:tc>
          <w:tcPr>
            <w:tcW w:w="1871" w:type="dxa"/>
            <w:shd w:val="clear" w:color="auto" w:fill="FFFFFF"/>
            <w:tcMar>
              <w:top w:w="90" w:type="dxa"/>
              <w:left w:w="100" w:type="dxa"/>
              <w:bottom w:w="90" w:type="dxa"/>
              <w:right w:w="100" w:type="dxa"/>
            </w:tcMar>
            <w:vAlign w:val="center"/>
          </w:tcPr>
          <w:p w14:paraId="464B6A61">
            <w:pPr>
              <w:spacing w:before="0" w:after="0" w:line="269" w:lineRule="auto"/>
              <w:jc w:val="left"/>
            </w:pPr>
            <w:r>
              <w:rPr>
                <w:sz w:val="17"/>
              </w:rPr>
              <w:t>反映平台端是否向消费者提供清楚、友好、稳定的导盲犬入住信息。分值越高，说明积极公示越充分；分值越低，说明平台端存在更多信息缺失、模糊或拒绝性标注</w:t>
            </w:r>
          </w:p>
        </w:tc>
      </w:tr>
      <w:tr w14:paraId="6C0A1C78">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964" w:type="dxa"/>
            <w:shd w:val="clear" w:color="auto" w:fill="FAFAF8"/>
            <w:tcMar>
              <w:top w:w="90" w:type="dxa"/>
              <w:left w:w="100" w:type="dxa"/>
              <w:bottom w:w="90" w:type="dxa"/>
              <w:right w:w="100" w:type="dxa"/>
            </w:tcMar>
            <w:vAlign w:val="center"/>
          </w:tcPr>
          <w:p w14:paraId="7BDEE2E5">
            <w:pPr>
              <w:spacing w:before="0" w:after="0" w:line="269" w:lineRule="auto"/>
              <w:jc w:val="center"/>
            </w:pPr>
            <w:r>
              <w:rPr>
                <w:sz w:val="17"/>
              </w:rPr>
              <w:t>指标2：</w:t>
            </w:r>
            <w:r>
              <w:rPr>
                <w:sz w:val="17"/>
              </w:rPr>
              <w:br w:type="textWrapping"/>
            </w:r>
            <w:r>
              <w:rPr>
                <w:sz w:val="17"/>
              </w:rPr>
              <w:t>总部接待规则明确度</w:t>
            </w:r>
          </w:p>
        </w:tc>
        <w:tc>
          <w:tcPr>
            <w:tcW w:w="1531" w:type="dxa"/>
            <w:shd w:val="clear" w:color="auto" w:fill="FAFAF8"/>
            <w:tcMar>
              <w:top w:w="90" w:type="dxa"/>
              <w:left w:w="100" w:type="dxa"/>
              <w:bottom w:w="90" w:type="dxa"/>
              <w:right w:w="100" w:type="dxa"/>
            </w:tcMar>
            <w:vAlign w:val="center"/>
          </w:tcPr>
          <w:p w14:paraId="30B37356">
            <w:pPr>
              <w:spacing w:before="0" w:after="0" w:line="269" w:lineRule="auto"/>
              <w:jc w:val="left"/>
            </w:pPr>
            <w:r>
              <w:rPr>
                <w:sz w:val="17"/>
              </w:rPr>
              <w:t>品牌或集团总部对导盲犬入住是否有明确规则</w:t>
            </w:r>
          </w:p>
        </w:tc>
        <w:tc>
          <w:tcPr>
            <w:tcW w:w="2268" w:type="dxa"/>
            <w:shd w:val="clear" w:color="auto" w:fill="FAFAF8"/>
            <w:tcMar>
              <w:top w:w="90" w:type="dxa"/>
              <w:left w:w="100" w:type="dxa"/>
              <w:bottom w:w="90" w:type="dxa"/>
              <w:right w:w="100" w:type="dxa"/>
            </w:tcMar>
            <w:vAlign w:val="center"/>
          </w:tcPr>
          <w:p w14:paraId="6F5C85BA">
            <w:pPr>
              <w:spacing w:before="0" w:after="0" w:line="269" w:lineRule="auto"/>
              <w:jc w:val="left"/>
            </w:pPr>
            <w:r>
              <w:rPr>
                <w:sz w:val="17"/>
              </w:rPr>
              <w:t>有明确内部文件或强制性要求，例如“不允许不接待”“允许携带导盲犬入住”等，得2分；无明确公文，但总部客服口头表示会协助入住、遇阻可协调，得1分；总部表示无硬性规定，或以具体门店为准，得-1分</w:t>
            </w:r>
          </w:p>
        </w:tc>
        <w:tc>
          <w:tcPr>
            <w:tcW w:w="1644" w:type="dxa"/>
            <w:shd w:val="clear" w:color="auto" w:fill="FAFAF8"/>
            <w:tcMar>
              <w:top w:w="90" w:type="dxa"/>
              <w:left w:w="100" w:type="dxa"/>
              <w:bottom w:w="90" w:type="dxa"/>
              <w:right w:w="100" w:type="dxa"/>
            </w:tcMar>
            <w:vAlign w:val="center"/>
          </w:tcPr>
          <w:p w14:paraId="4B832875">
            <w:pPr>
              <w:spacing w:before="0" w:after="0" w:line="269" w:lineRule="auto"/>
              <w:jc w:val="center"/>
            </w:pPr>
            <w:r>
              <w:rPr>
                <w:sz w:val="17"/>
              </w:rPr>
              <w:t>直接赋分</w:t>
            </w:r>
          </w:p>
        </w:tc>
        <w:tc>
          <w:tcPr>
            <w:tcW w:w="1871" w:type="dxa"/>
            <w:shd w:val="clear" w:color="auto" w:fill="FAFAF8"/>
            <w:tcMar>
              <w:top w:w="90" w:type="dxa"/>
              <w:left w:w="100" w:type="dxa"/>
              <w:bottom w:w="90" w:type="dxa"/>
              <w:right w:w="100" w:type="dxa"/>
            </w:tcMar>
            <w:vAlign w:val="center"/>
          </w:tcPr>
          <w:p w14:paraId="01B3DBF6">
            <w:pPr>
              <w:spacing w:before="0" w:after="0" w:line="269" w:lineRule="auto"/>
              <w:jc w:val="left"/>
            </w:pPr>
            <w:r>
              <w:rPr>
                <w:sz w:val="17"/>
              </w:rPr>
              <w:t>反映总部层面对导盲犬入住的制度支持强度，以及门店是否有明确执行依据</w:t>
            </w:r>
          </w:p>
        </w:tc>
      </w:tr>
      <w:tr w14:paraId="6E2423AB">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964" w:type="dxa"/>
            <w:shd w:val="clear" w:color="auto" w:fill="FFFFFF"/>
            <w:tcMar>
              <w:top w:w="90" w:type="dxa"/>
              <w:left w:w="100" w:type="dxa"/>
              <w:bottom w:w="90" w:type="dxa"/>
              <w:right w:w="100" w:type="dxa"/>
            </w:tcMar>
            <w:vAlign w:val="center"/>
          </w:tcPr>
          <w:p w14:paraId="5AF318F6">
            <w:pPr>
              <w:spacing w:before="0" w:after="0" w:line="269" w:lineRule="auto"/>
              <w:jc w:val="center"/>
            </w:pPr>
            <w:r>
              <w:rPr>
                <w:sz w:val="17"/>
              </w:rPr>
              <w:t>指标3：</w:t>
            </w:r>
            <w:r>
              <w:rPr>
                <w:sz w:val="17"/>
              </w:rPr>
              <w:br w:type="textWrapping"/>
            </w:r>
            <w:r>
              <w:rPr>
                <w:sz w:val="17"/>
              </w:rPr>
              <w:t>查验标准清晰度</w:t>
            </w:r>
          </w:p>
        </w:tc>
        <w:tc>
          <w:tcPr>
            <w:tcW w:w="1531" w:type="dxa"/>
            <w:shd w:val="clear" w:color="auto" w:fill="FFFFFF"/>
            <w:tcMar>
              <w:top w:w="90" w:type="dxa"/>
              <w:left w:w="100" w:type="dxa"/>
              <w:bottom w:w="90" w:type="dxa"/>
              <w:right w:w="100" w:type="dxa"/>
            </w:tcMar>
            <w:vAlign w:val="center"/>
          </w:tcPr>
          <w:p w14:paraId="3B117F64">
            <w:pPr>
              <w:spacing w:before="0" w:after="0" w:line="269" w:lineRule="auto"/>
              <w:jc w:val="left"/>
            </w:pPr>
            <w:r>
              <w:rPr>
                <w:sz w:val="17"/>
              </w:rPr>
              <w:t>品牌或客服能否说明导盲犬入住需要提供哪些材料</w:t>
            </w:r>
          </w:p>
        </w:tc>
        <w:tc>
          <w:tcPr>
            <w:tcW w:w="2268" w:type="dxa"/>
            <w:shd w:val="clear" w:color="auto" w:fill="FFFFFF"/>
            <w:tcMar>
              <w:top w:w="90" w:type="dxa"/>
              <w:left w:w="100" w:type="dxa"/>
              <w:bottom w:w="90" w:type="dxa"/>
              <w:right w:w="100" w:type="dxa"/>
            </w:tcMar>
            <w:vAlign w:val="center"/>
          </w:tcPr>
          <w:p w14:paraId="2950F9FE">
            <w:pPr>
              <w:spacing w:before="0" w:after="0" w:line="269" w:lineRule="auto"/>
              <w:jc w:val="left"/>
            </w:pPr>
            <w:r>
              <w:rPr>
                <w:sz w:val="17"/>
              </w:rPr>
              <w:t>能明确说明查验标准，例如残疾人证、导盲犬证、疫苗证明等，得1分；笼统表示需要证件，但无法说明具体材料，得0分；完全未提及查验标准，或客服明确表示不知道如何处理，得-1分</w:t>
            </w:r>
          </w:p>
        </w:tc>
        <w:tc>
          <w:tcPr>
            <w:tcW w:w="1644" w:type="dxa"/>
            <w:shd w:val="clear" w:color="auto" w:fill="FFFFFF"/>
            <w:tcMar>
              <w:top w:w="90" w:type="dxa"/>
              <w:left w:w="100" w:type="dxa"/>
              <w:bottom w:w="90" w:type="dxa"/>
              <w:right w:w="100" w:type="dxa"/>
            </w:tcMar>
            <w:vAlign w:val="center"/>
          </w:tcPr>
          <w:p w14:paraId="229356DF">
            <w:pPr>
              <w:spacing w:before="0" w:after="0" w:line="269" w:lineRule="auto"/>
              <w:jc w:val="center"/>
            </w:pPr>
            <w:r>
              <w:rPr>
                <w:sz w:val="17"/>
              </w:rPr>
              <w:t>直接赋分</w:t>
            </w:r>
          </w:p>
        </w:tc>
        <w:tc>
          <w:tcPr>
            <w:tcW w:w="1871" w:type="dxa"/>
            <w:shd w:val="clear" w:color="auto" w:fill="FFFFFF"/>
            <w:tcMar>
              <w:top w:w="90" w:type="dxa"/>
              <w:left w:w="100" w:type="dxa"/>
              <w:bottom w:w="90" w:type="dxa"/>
              <w:right w:w="100" w:type="dxa"/>
            </w:tcMar>
            <w:vAlign w:val="center"/>
          </w:tcPr>
          <w:p w14:paraId="09787B70">
            <w:pPr>
              <w:spacing w:before="0" w:after="0" w:line="269" w:lineRule="auto"/>
              <w:jc w:val="left"/>
            </w:pPr>
            <w:r>
              <w:rPr>
                <w:sz w:val="17"/>
              </w:rPr>
              <w:t>反映消费者入住前能否获得明确准备信息，也反映一线门店是否有可操作的核验依据</w:t>
            </w:r>
          </w:p>
        </w:tc>
      </w:tr>
      <w:tr w14:paraId="1FF8C433">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964" w:type="dxa"/>
            <w:shd w:val="clear" w:color="auto" w:fill="FAFAF8"/>
            <w:tcMar>
              <w:top w:w="90" w:type="dxa"/>
              <w:left w:w="100" w:type="dxa"/>
              <w:bottom w:w="90" w:type="dxa"/>
              <w:right w:w="100" w:type="dxa"/>
            </w:tcMar>
            <w:vAlign w:val="center"/>
          </w:tcPr>
          <w:p w14:paraId="7B7948DC">
            <w:pPr>
              <w:spacing w:before="0" w:after="0" w:line="269" w:lineRule="auto"/>
              <w:jc w:val="center"/>
            </w:pPr>
            <w:r>
              <w:rPr>
                <w:sz w:val="17"/>
              </w:rPr>
              <w:t>综合总分</w:t>
            </w:r>
          </w:p>
        </w:tc>
        <w:tc>
          <w:tcPr>
            <w:tcW w:w="1531" w:type="dxa"/>
            <w:shd w:val="clear" w:color="auto" w:fill="FAFAF8"/>
            <w:tcMar>
              <w:top w:w="90" w:type="dxa"/>
              <w:left w:w="100" w:type="dxa"/>
              <w:bottom w:w="90" w:type="dxa"/>
              <w:right w:w="100" w:type="dxa"/>
            </w:tcMar>
            <w:vAlign w:val="center"/>
          </w:tcPr>
          <w:p w14:paraId="76ED15EE">
            <w:pPr>
              <w:spacing w:before="0" w:after="0" w:line="269" w:lineRule="auto"/>
              <w:jc w:val="center"/>
            </w:pPr>
            <w:r>
              <w:rPr>
                <w:sz w:val="17"/>
              </w:rPr>
              <w:t>三个指标合并后的品牌政策清晰度</w:t>
            </w:r>
          </w:p>
        </w:tc>
        <w:tc>
          <w:tcPr>
            <w:tcW w:w="2268" w:type="dxa"/>
            <w:shd w:val="clear" w:color="auto" w:fill="FAFAF8"/>
            <w:tcMar>
              <w:top w:w="90" w:type="dxa"/>
              <w:left w:w="100" w:type="dxa"/>
              <w:bottom w:w="90" w:type="dxa"/>
              <w:right w:w="100" w:type="dxa"/>
            </w:tcMar>
            <w:vAlign w:val="center"/>
          </w:tcPr>
          <w:p w14:paraId="006F4EF7">
            <w:pPr>
              <w:spacing w:before="0" w:after="0" w:line="269" w:lineRule="auto"/>
              <w:jc w:val="center"/>
            </w:pPr>
            <w:r>
              <w:rPr>
                <w:sz w:val="17"/>
              </w:rPr>
              <w:t>——</w:t>
            </w:r>
          </w:p>
        </w:tc>
        <w:tc>
          <w:tcPr>
            <w:tcW w:w="1644" w:type="dxa"/>
            <w:shd w:val="clear" w:color="auto" w:fill="FAFAF8"/>
            <w:tcMar>
              <w:top w:w="90" w:type="dxa"/>
              <w:left w:w="100" w:type="dxa"/>
              <w:bottom w:w="90" w:type="dxa"/>
              <w:right w:w="100" w:type="dxa"/>
            </w:tcMar>
            <w:vAlign w:val="center"/>
          </w:tcPr>
          <w:p w14:paraId="493504D0">
            <w:pPr>
              <w:spacing w:before="0" w:after="0" w:line="269" w:lineRule="auto"/>
              <w:jc w:val="left"/>
            </w:pPr>
            <w:r>
              <w:rPr>
                <w:sz w:val="17"/>
              </w:rPr>
              <w:t>综合总分=指标1平台落实度映射分+指标2总部接待规则明确度得分 +指标3查验标准清晰度得分。理论范围为-4分至5分</w:t>
            </w:r>
          </w:p>
        </w:tc>
        <w:tc>
          <w:tcPr>
            <w:tcW w:w="1871" w:type="dxa"/>
            <w:shd w:val="clear" w:color="auto" w:fill="FAFAF8"/>
            <w:tcMar>
              <w:top w:w="90" w:type="dxa"/>
              <w:left w:w="100" w:type="dxa"/>
              <w:bottom w:w="90" w:type="dxa"/>
              <w:right w:w="100" w:type="dxa"/>
            </w:tcMar>
            <w:vAlign w:val="center"/>
          </w:tcPr>
          <w:p w14:paraId="12068A6A">
            <w:pPr>
              <w:spacing w:before="0" w:after="0" w:line="269" w:lineRule="auto"/>
              <w:jc w:val="left"/>
            </w:pPr>
            <w:r>
              <w:rPr>
                <w:sz w:val="17"/>
              </w:rPr>
              <w:t>反映品牌政策在平台、总部和查验标准三个层面的整体清晰程度</w:t>
            </w:r>
          </w:p>
        </w:tc>
      </w:tr>
    </w:tbl>
    <w:p w14:paraId="258B9B24"/>
    <w:p w14:paraId="77CB79E9">
      <w:pPr>
        <w:pStyle w:val="5"/>
      </w:pPr>
      <w:bookmarkStart w:id="61" w:name="_Toc3922"/>
      <w:r>
        <w:rPr>
          <w:rFonts w:ascii="Times New Roman" w:hAnsi="Times New Roman" w:eastAsia="黑体"/>
        </w:rPr>
        <w:t>（六）集团客服政策熟悉度评分</w:t>
      </w:r>
      <w:bookmarkEnd w:id="61"/>
    </w:p>
    <w:tbl>
      <w:tblPr>
        <w:tblStyle w:val="37"/>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1134"/>
        <w:gridCol w:w="1815"/>
        <w:gridCol w:w="2495"/>
        <w:gridCol w:w="2836"/>
      </w:tblGrid>
      <w:tr w14:paraId="626573BF">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134" w:type="dxa"/>
            <w:shd w:val="clear" w:color="auto" w:fill="2C2C2C"/>
            <w:tcMar>
              <w:top w:w="90" w:type="dxa"/>
              <w:left w:w="100" w:type="dxa"/>
              <w:bottom w:w="90" w:type="dxa"/>
              <w:right w:w="100" w:type="dxa"/>
            </w:tcMar>
            <w:vAlign w:val="center"/>
          </w:tcPr>
          <w:p w14:paraId="5410C492">
            <w:pPr>
              <w:keepNext/>
              <w:spacing w:before="0" w:after="0" w:line="269" w:lineRule="auto"/>
              <w:jc w:val="center"/>
            </w:pPr>
            <w:r>
              <w:rPr>
                <w:rFonts w:eastAsia="黑体"/>
                <w:b/>
                <w:color w:val="FFFFFF"/>
                <w:sz w:val="17"/>
              </w:rPr>
              <w:t>指标</w:t>
            </w:r>
          </w:p>
        </w:tc>
        <w:tc>
          <w:tcPr>
            <w:tcW w:w="1814" w:type="dxa"/>
            <w:shd w:val="clear" w:color="auto" w:fill="2C2C2C"/>
            <w:tcMar>
              <w:top w:w="90" w:type="dxa"/>
              <w:left w:w="100" w:type="dxa"/>
              <w:bottom w:w="90" w:type="dxa"/>
              <w:right w:w="100" w:type="dxa"/>
            </w:tcMar>
            <w:vAlign w:val="center"/>
          </w:tcPr>
          <w:p w14:paraId="225208A8">
            <w:pPr>
              <w:keepNext/>
              <w:spacing w:before="0" w:after="0" w:line="269" w:lineRule="auto"/>
              <w:jc w:val="center"/>
            </w:pPr>
            <w:r>
              <w:rPr>
                <w:rFonts w:eastAsia="黑体"/>
                <w:b/>
                <w:color w:val="FFFFFF"/>
                <w:sz w:val="17"/>
              </w:rPr>
              <w:t>评分对象</w:t>
            </w:r>
          </w:p>
        </w:tc>
        <w:tc>
          <w:tcPr>
            <w:tcW w:w="2494" w:type="dxa"/>
            <w:shd w:val="clear" w:color="auto" w:fill="2C2C2C"/>
            <w:tcMar>
              <w:top w:w="90" w:type="dxa"/>
              <w:left w:w="100" w:type="dxa"/>
              <w:bottom w:w="90" w:type="dxa"/>
              <w:right w:w="100" w:type="dxa"/>
            </w:tcMar>
            <w:vAlign w:val="center"/>
          </w:tcPr>
          <w:p w14:paraId="4022D2EC">
            <w:pPr>
              <w:keepNext/>
              <w:spacing w:before="0" w:after="0" w:line="269" w:lineRule="auto"/>
              <w:jc w:val="center"/>
            </w:pPr>
            <w:r>
              <w:rPr>
                <w:rFonts w:eastAsia="黑体"/>
                <w:b/>
                <w:color w:val="FFFFFF"/>
                <w:sz w:val="17"/>
              </w:rPr>
              <w:t>赋分方式</w:t>
            </w:r>
          </w:p>
        </w:tc>
        <w:tc>
          <w:tcPr>
            <w:tcW w:w="2835" w:type="dxa"/>
            <w:shd w:val="clear" w:color="auto" w:fill="2C2C2C"/>
            <w:tcMar>
              <w:top w:w="90" w:type="dxa"/>
              <w:left w:w="100" w:type="dxa"/>
              <w:bottom w:w="90" w:type="dxa"/>
              <w:right w:w="100" w:type="dxa"/>
            </w:tcMar>
            <w:vAlign w:val="center"/>
          </w:tcPr>
          <w:p w14:paraId="130282ED">
            <w:pPr>
              <w:keepNext/>
              <w:spacing w:before="0" w:after="0" w:line="269" w:lineRule="auto"/>
              <w:jc w:val="center"/>
            </w:pPr>
            <w:r>
              <w:rPr>
                <w:rFonts w:eastAsia="黑体"/>
                <w:b/>
                <w:color w:val="FFFFFF"/>
                <w:sz w:val="17"/>
              </w:rPr>
              <w:t>指标含义</w:t>
            </w:r>
          </w:p>
        </w:tc>
      </w:tr>
      <w:tr w14:paraId="2D2DA262">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69164252">
            <w:pPr>
              <w:spacing w:before="0" w:after="0" w:line="269" w:lineRule="auto"/>
              <w:jc w:val="center"/>
            </w:pPr>
            <w:r>
              <w:rPr>
                <w:sz w:val="17"/>
              </w:rPr>
              <w:t>指标4：</w:t>
            </w:r>
            <w:r>
              <w:rPr>
                <w:sz w:val="17"/>
              </w:rPr>
              <w:br w:type="textWrapping"/>
            </w:r>
            <w:r>
              <w:rPr>
                <w:sz w:val="17"/>
              </w:rPr>
              <w:t>政策熟悉度</w:t>
            </w:r>
          </w:p>
        </w:tc>
        <w:tc>
          <w:tcPr>
            <w:tcW w:w="1814" w:type="dxa"/>
            <w:shd w:val="clear" w:color="auto" w:fill="FFFFFF"/>
            <w:tcMar>
              <w:top w:w="90" w:type="dxa"/>
              <w:left w:w="100" w:type="dxa"/>
              <w:bottom w:w="90" w:type="dxa"/>
              <w:right w:w="100" w:type="dxa"/>
            </w:tcMar>
            <w:vAlign w:val="center"/>
          </w:tcPr>
          <w:p w14:paraId="15FB3F20">
            <w:pPr>
              <w:spacing w:before="0" w:after="0" w:line="269" w:lineRule="auto"/>
              <w:jc w:val="left"/>
            </w:pPr>
            <w:r>
              <w:rPr>
                <w:sz w:val="17"/>
              </w:rPr>
              <w:t>集团或品牌官方客服是否了解导盲犬入住政策，并能准确回应消费者咨询</w:t>
            </w:r>
          </w:p>
        </w:tc>
        <w:tc>
          <w:tcPr>
            <w:tcW w:w="2494" w:type="dxa"/>
            <w:shd w:val="clear" w:color="auto" w:fill="FFFFFF"/>
            <w:tcMar>
              <w:top w:w="90" w:type="dxa"/>
              <w:left w:w="100" w:type="dxa"/>
              <w:bottom w:w="90" w:type="dxa"/>
              <w:right w:w="100" w:type="dxa"/>
            </w:tcMar>
            <w:vAlign w:val="center"/>
          </w:tcPr>
          <w:p w14:paraId="62B1615A">
            <w:pPr>
              <w:spacing w:before="0" w:after="0" w:line="269" w:lineRule="auto"/>
              <w:jc w:val="left"/>
            </w:pPr>
            <w:r>
              <w:rPr>
                <w:sz w:val="17"/>
              </w:rPr>
              <w:t>客服直接知晓导盲犬入住政策，并能准确回答，得1分；客服需要较长时间查阅资料或请示主管后才能答复，得0分；客服查阅后仍给出错误信息，例如将导盲犬视为普通宠物，得-1分</w:t>
            </w:r>
          </w:p>
        </w:tc>
        <w:tc>
          <w:tcPr>
            <w:tcW w:w="2835" w:type="dxa"/>
            <w:shd w:val="clear" w:color="auto" w:fill="FFFFFF"/>
            <w:tcMar>
              <w:top w:w="90" w:type="dxa"/>
              <w:left w:w="100" w:type="dxa"/>
              <w:bottom w:w="90" w:type="dxa"/>
              <w:right w:w="100" w:type="dxa"/>
            </w:tcMar>
            <w:vAlign w:val="center"/>
          </w:tcPr>
          <w:p w14:paraId="49F09269">
            <w:pPr>
              <w:spacing w:before="0" w:after="0" w:line="269" w:lineRule="auto"/>
              <w:jc w:val="left"/>
            </w:pPr>
            <w:r>
              <w:rPr>
                <w:sz w:val="17"/>
              </w:rPr>
              <w:t>反映客服是否具备基本政策识别能力。分值越高，说明客服越能快速、准确地区分导盲犬入住问题与普通宠物入住问题；分值越低，说明消费者越可能在客服环节遭遇错误解释或不确定回应</w:t>
            </w:r>
          </w:p>
        </w:tc>
      </w:tr>
      <w:tr w14:paraId="78267E61">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AFAF8"/>
            <w:tcMar>
              <w:top w:w="90" w:type="dxa"/>
              <w:left w:w="100" w:type="dxa"/>
              <w:bottom w:w="90" w:type="dxa"/>
              <w:right w:w="100" w:type="dxa"/>
            </w:tcMar>
            <w:vAlign w:val="center"/>
          </w:tcPr>
          <w:p w14:paraId="4ABB5414">
            <w:pPr>
              <w:spacing w:before="0" w:after="0" w:line="269" w:lineRule="auto"/>
              <w:jc w:val="center"/>
            </w:pPr>
            <w:r>
              <w:rPr>
                <w:sz w:val="17"/>
              </w:rPr>
              <w:t>指标5：</w:t>
            </w:r>
            <w:r>
              <w:rPr>
                <w:sz w:val="17"/>
              </w:rPr>
              <w:br w:type="textWrapping"/>
            </w:r>
            <w:r>
              <w:rPr>
                <w:sz w:val="17"/>
              </w:rPr>
              <w:t>主动回应</w:t>
            </w:r>
          </w:p>
        </w:tc>
        <w:tc>
          <w:tcPr>
            <w:tcW w:w="1814" w:type="dxa"/>
            <w:shd w:val="clear" w:color="auto" w:fill="FAFAF8"/>
            <w:tcMar>
              <w:top w:w="90" w:type="dxa"/>
              <w:left w:w="100" w:type="dxa"/>
              <w:bottom w:w="90" w:type="dxa"/>
              <w:right w:w="100" w:type="dxa"/>
            </w:tcMar>
            <w:vAlign w:val="center"/>
          </w:tcPr>
          <w:p w14:paraId="0F95723D">
            <w:pPr>
              <w:spacing w:before="0" w:after="0" w:line="269" w:lineRule="auto"/>
              <w:jc w:val="left"/>
            </w:pPr>
            <w:r>
              <w:rPr>
                <w:sz w:val="17"/>
              </w:rPr>
              <w:t>集团或品牌官方客服是否能够主动、清楚地提供入住指引，并展现协助意愿</w:t>
            </w:r>
          </w:p>
        </w:tc>
        <w:tc>
          <w:tcPr>
            <w:tcW w:w="2494" w:type="dxa"/>
            <w:shd w:val="clear" w:color="auto" w:fill="FAFAF8"/>
            <w:tcMar>
              <w:top w:w="90" w:type="dxa"/>
              <w:left w:w="100" w:type="dxa"/>
              <w:bottom w:w="90" w:type="dxa"/>
              <w:right w:w="100" w:type="dxa"/>
            </w:tcMar>
            <w:vAlign w:val="center"/>
          </w:tcPr>
          <w:p w14:paraId="734C4202">
            <w:pPr>
              <w:spacing w:before="0" w:after="0" w:line="269" w:lineRule="auto"/>
              <w:jc w:val="left"/>
            </w:pPr>
            <w:r>
              <w:rPr>
                <w:sz w:val="17"/>
              </w:rPr>
              <w:t>客服主动告知需携带的证件、证明材料或注意事项，得2分；消费者追问后，客服能够说明具体要求，得1分；消费者追问后，客服仍无法给出明确指引或有所推诿，得-1分</w:t>
            </w:r>
          </w:p>
        </w:tc>
        <w:tc>
          <w:tcPr>
            <w:tcW w:w="2835" w:type="dxa"/>
            <w:shd w:val="clear" w:color="auto" w:fill="FAFAF8"/>
            <w:tcMar>
              <w:top w:w="90" w:type="dxa"/>
              <w:left w:w="100" w:type="dxa"/>
              <w:bottom w:w="90" w:type="dxa"/>
              <w:right w:w="100" w:type="dxa"/>
            </w:tcMar>
            <w:vAlign w:val="center"/>
          </w:tcPr>
          <w:p w14:paraId="4F8D3B3D">
            <w:pPr>
              <w:spacing w:before="0" w:after="0" w:line="269" w:lineRule="auto"/>
              <w:jc w:val="left"/>
            </w:pPr>
            <w:r>
              <w:rPr>
                <w:sz w:val="17"/>
              </w:rPr>
              <w:t>反映客服是否能够降低消费者入住前的不确定性。分值越高，说明客服越能主动提供有效信息和协助；分值越低，说明消费者需要反复追问，甚至仍无法获得清晰指引</w:t>
            </w:r>
          </w:p>
        </w:tc>
      </w:tr>
      <w:tr w14:paraId="78868A98">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77CB4CAA">
            <w:pPr>
              <w:spacing w:before="0" w:after="0" w:line="269" w:lineRule="auto"/>
              <w:jc w:val="center"/>
            </w:pPr>
            <w:r>
              <w:rPr>
                <w:sz w:val="17"/>
              </w:rPr>
              <w:t>综合得分</w:t>
            </w:r>
          </w:p>
        </w:tc>
        <w:tc>
          <w:tcPr>
            <w:tcW w:w="1814" w:type="dxa"/>
            <w:shd w:val="clear" w:color="auto" w:fill="FFFFFF"/>
            <w:tcMar>
              <w:top w:w="90" w:type="dxa"/>
              <w:left w:w="100" w:type="dxa"/>
              <w:bottom w:w="90" w:type="dxa"/>
              <w:right w:w="100" w:type="dxa"/>
            </w:tcMar>
            <w:vAlign w:val="center"/>
          </w:tcPr>
          <w:p w14:paraId="4D4918A8">
            <w:pPr>
              <w:spacing w:before="0" w:after="0" w:line="269" w:lineRule="auto"/>
              <w:jc w:val="center"/>
            </w:pPr>
            <w:r>
              <w:rPr>
                <w:sz w:val="17"/>
              </w:rPr>
              <w:t>两项指标合并后的客服熟悉度与支持能力</w:t>
            </w:r>
          </w:p>
        </w:tc>
        <w:tc>
          <w:tcPr>
            <w:tcW w:w="2494" w:type="dxa"/>
            <w:shd w:val="clear" w:color="auto" w:fill="FFFFFF"/>
            <w:tcMar>
              <w:top w:w="90" w:type="dxa"/>
              <w:left w:w="100" w:type="dxa"/>
              <w:bottom w:w="90" w:type="dxa"/>
              <w:right w:w="100" w:type="dxa"/>
            </w:tcMar>
            <w:vAlign w:val="center"/>
          </w:tcPr>
          <w:p w14:paraId="0843CB76">
            <w:pPr>
              <w:spacing w:before="0" w:after="0" w:line="269" w:lineRule="auto"/>
              <w:jc w:val="left"/>
            </w:pPr>
            <w:r>
              <w:rPr>
                <w:sz w:val="17"/>
              </w:rPr>
              <w:t>综合得分=指标4政策熟悉度得分+指标5主动回应得分。理论范围为-2分至3分</w:t>
            </w:r>
          </w:p>
        </w:tc>
        <w:tc>
          <w:tcPr>
            <w:tcW w:w="2835" w:type="dxa"/>
            <w:shd w:val="clear" w:color="auto" w:fill="FFFFFF"/>
            <w:tcMar>
              <w:top w:w="90" w:type="dxa"/>
              <w:left w:w="100" w:type="dxa"/>
              <w:bottom w:w="90" w:type="dxa"/>
              <w:right w:w="100" w:type="dxa"/>
            </w:tcMar>
            <w:vAlign w:val="center"/>
          </w:tcPr>
          <w:p w14:paraId="2BE12CF5">
            <w:pPr>
              <w:spacing w:before="0" w:after="0" w:line="269" w:lineRule="auto"/>
              <w:jc w:val="left"/>
            </w:pPr>
            <w:r>
              <w:rPr>
                <w:sz w:val="17"/>
              </w:rPr>
              <w:t>反映品牌客服在导盲犬入住问题上的理解与支持能力</w:t>
            </w:r>
          </w:p>
        </w:tc>
      </w:tr>
    </w:tbl>
    <w:p w14:paraId="5C7FD005"/>
    <w:p w14:paraId="2E5C31C0">
      <w:pPr>
        <w:pStyle w:val="5"/>
      </w:pPr>
      <w:bookmarkStart w:id="62" w:name="_Toc7569"/>
      <w:r>
        <w:rPr>
          <w:rFonts w:ascii="Times New Roman" w:hAnsi="Times New Roman" w:eastAsia="黑体"/>
        </w:rPr>
        <w:t>（七）导盲犬认知担忧与拒绝理由编码</w:t>
      </w:r>
      <w:bookmarkEnd w:id="62"/>
    </w:p>
    <w:tbl>
      <w:tblPr>
        <w:tblStyle w:val="37"/>
        <w:tblW w:w="8280" w:type="dxa"/>
        <w:jc w:val="center"/>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Layout w:type="fixed"/>
        <w:tblCellMar>
          <w:top w:w="0" w:type="dxa"/>
          <w:left w:w="108" w:type="dxa"/>
          <w:bottom w:w="0" w:type="dxa"/>
          <w:right w:w="108" w:type="dxa"/>
        </w:tblCellMar>
      </w:tblPr>
      <w:tblGrid>
        <w:gridCol w:w="1134"/>
        <w:gridCol w:w="1418"/>
        <w:gridCol w:w="2779"/>
        <w:gridCol w:w="2949"/>
      </w:tblGrid>
      <w:tr w14:paraId="7A9A1F6E">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tblHeader/>
          <w:jc w:val="center"/>
        </w:trPr>
        <w:tc>
          <w:tcPr>
            <w:tcW w:w="1134" w:type="dxa"/>
            <w:shd w:val="clear" w:color="auto" w:fill="2C2C2C"/>
            <w:tcMar>
              <w:top w:w="90" w:type="dxa"/>
              <w:left w:w="100" w:type="dxa"/>
              <w:bottom w:w="90" w:type="dxa"/>
              <w:right w:w="100" w:type="dxa"/>
            </w:tcMar>
            <w:vAlign w:val="center"/>
          </w:tcPr>
          <w:p w14:paraId="21ED55BD">
            <w:pPr>
              <w:keepNext/>
              <w:spacing w:before="0" w:after="0" w:line="269" w:lineRule="auto"/>
              <w:jc w:val="center"/>
            </w:pPr>
            <w:r>
              <w:rPr>
                <w:rFonts w:eastAsia="黑体"/>
                <w:b/>
                <w:color w:val="FFFFFF"/>
                <w:sz w:val="17"/>
              </w:rPr>
              <w:t>担忧方向</w:t>
            </w:r>
          </w:p>
        </w:tc>
        <w:tc>
          <w:tcPr>
            <w:tcW w:w="1417" w:type="dxa"/>
            <w:shd w:val="clear" w:color="auto" w:fill="2C2C2C"/>
            <w:tcMar>
              <w:top w:w="90" w:type="dxa"/>
              <w:left w:w="100" w:type="dxa"/>
              <w:bottom w:w="90" w:type="dxa"/>
              <w:right w:w="100" w:type="dxa"/>
            </w:tcMar>
            <w:vAlign w:val="center"/>
          </w:tcPr>
          <w:p w14:paraId="28FEF5F9">
            <w:pPr>
              <w:keepNext/>
              <w:spacing w:before="0" w:after="0" w:line="269" w:lineRule="auto"/>
              <w:jc w:val="center"/>
            </w:pPr>
            <w:r>
              <w:rPr>
                <w:rFonts w:eastAsia="黑体"/>
                <w:b/>
                <w:color w:val="FFFFFF"/>
                <w:sz w:val="17"/>
              </w:rPr>
              <w:t>拒绝理由</w:t>
            </w:r>
          </w:p>
        </w:tc>
        <w:tc>
          <w:tcPr>
            <w:tcW w:w="2778" w:type="dxa"/>
            <w:shd w:val="clear" w:color="auto" w:fill="2C2C2C"/>
            <w:tcMar>
              <w:top w:w="90" w:type="dxa"/>
              <w:left w:w="100" w:type="dxa"/>
              <w:bottom w:w="90" w:type="dxa"/>
              <w:right w:w="100" w:type="dxa"/>
            </w:tcMar>
            <w:vAlign w:val="center"/>
          </w:tcPr>
          <w:p w14:paraId="582F21C7">
            <w:pPr>
              <w:keepNext/>
              <w:spacing w:before="0" w:after="0" w:line="269" w:lineRule="auto"/>
              <w:jc w:val="center"/>
            </w:pPr>
            <w:r>
              <w:rPr>
                <w:rFonts w:eastAsia="黑体"/>
                <w:b/>
                <w:color w:val="FFFFFF"/>
                <w:sz w:val="17"/>
              </w:rPr>
              <w:t>含义</w:t>
            </w:r>
          </w:p>
        </w:tc>
        <w:tc>
          <w:tcPr>
            <w:tcW w:w="2948" w:type="dxa"/>
            <w:shd w:val="clear" w:color="auto" w:fill="2C2C2C"/>
            <w:tcMar>
              <w:top w:w="90" w:type="dxa"/>
              <w:left w:w="100" w:type="dxa"/>
              <w:bottom w:w="90" w:type="dxa"/>
              <w:right w:w="100" w:type="dxa"/>
            </w:tcMar>
            <w:vAlign w:val="center"/>
          </w:tcPr>
          <w:p w14:paraId="232FC4B5">
            <w:pPr>
              <w:keepNext/>
              <w:spacing w:before="0" w:after="0" w:line="269" w:lineRule="auto"/>
              <w:jc w:val="center"/>
            </w:pPr>
            <w:r>
              <w:rPr>
                <w:rFonts w:eastAsia="黑体"/>
                <w:b/>
                <w:color w:val="FFFFFF"/>
                <w:sz w:val="17"/>
              </w:rPr>
              <w:t>示例表达</w:t>
            </w:r>
          </w:p>
        </w:tc>
      </w:tr>
      <w:tr w14:paraId="3CB0B5AF">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05B4AA56">
            <w:pPr>
              <w:spacing w:before="0" w:after="0" w:line="269" w:lineRule="auto"/>
              <w:jc w:val="center"/>
            </w:pPr>
            <w:r>
              <w:rPr>
                <w:sz w:val="17"/>
              </w:rPr>
              <w:t>导盲犬</w:t>
            </w:r>
          </w:p>
        </w:tc>
        <w:tc>
          <w:tcPr>
            <w:tcW w:w="1417" w:type="dxa"/>
            <w:shd w:val="clear" w:color="auto" w:fill="FFFFFF"/>
            <w:tcMar>
              <w:top w:w="90" w:type="dxa"/>
              <w:left w:w="100" w:type="dxa"/>
              <w:bottom w:w="90" w:type="dxa"/>
              <w:right w:w="100" w:type="dxa"/>
            </w:tcMar>
            <w:vAlign w:val="center"/>
          </w:tcPr>
          <w:p w14:paraId="7EF763F4">
            <w:pPr>
              <w:spacing w:before="0" w:after="0" w:line="269" w:lineRule="auto"/>
              <w:jc w:val="center"/>
            </w:pPr>
            <w:r>
              <w:rPr>
                <w:sz w:val="17"/>
              </w:rPr>
              <w:t>宠物化理解</w:t>
            </w:r>
          </w:p>
        </w:tc>
        <w:tc>
          <w:tcPr>
            <w:tcW w:w="2778" w:type="dxa"/>
            <w:shd w:val="clear" w:color="auto" w:fill="FFFFFF"/>
            <w:tcMar>
              <w:top w:w="90" w:type="dxa"/>
              <w:left w:w="100" w:type="dxa"/>
              <w:bottom w:w="90" w:type="dxa"/>
              <w:right w:w="100" w:type="dxa"/>
            </w:tcMar>
            <w:vAlign w:val="center"/>
          </w:tcPr>
          <w:p w14:paraId="73C2891D">
            <w:pPr>
              <w:spacing w:before="0" w:after="0" w:line="269" w:lineRule="auto"/>
              <w:jc w:val="left"/>
            </w:pPr>
            <w:r>
              <w:rPr>
                <w:sz w:val="17"/>
              </w:rPr>
              <w:t>将导盲犬视为宠物、动物、犬类禁带对象，或未能区分导盲犬与普通宠物</w:t>
            </w:r>
          </w:p>
        </w:tc>
        <w:tc>
          <w:tcPr>
            <w:tcW w:w="2948" w:type="dxa"/>
            <w:shd w:val="clear" w:color="auto" w:fill="FFFFFF"/>
            <w:tcMar>
              <w:top w:w="90" w:type="dxa"/>
              <w:left w:w="100" w:type="dxa"/>
              <w:bottom w:w="90" w:type="dxa"/>
              <w:right w:w="100" w:type="dxa"/>
            </w:tcMar>
            <w:vAlign w:val="center"/>
          </w:tcPr>
          <w:p w14:paraId="091318F2">
            <w:pPr>
              <w:spacing w:before="0" w:after="0" w:line="269" w:lineRule="auto"/>
              <w:jc w:val="left"/>
            </w:pPr>
            <w:r>
              <w:rPr>
                <w:sz w:val="17"/>
              </w:rPr>
              <w:t>“宠物不能住”“导盲犬也是狗”“动物不能进酒店”</w:t>
            </w:r>
          </w:p>
        </w:tc>
      </w:tr>
      <w:tr w14:paraId="2941B8BA">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AFAF8"/>
            <w:tcMar>
              <w:top w:w="90" w:type="dxa"/>
              <w:left w:w="100" w:type="dxa"/>
              <w:bottom w:w="90" w:type="dxa"/>
              <w:right w:w="100" w:type="dxa"/>
            </w:tcMar>
            <w:vAlign w:val="center"/>
          </w:tcPr>
          <w:p w14:paraId="6236D623">
            <w:pPr>
              <w:spacing w:before="0" w:after="0" w:line="269" w:lineRule="auto"/>
              <w:jc w:val="center"/>
            </w:pPr>
            <w:r>
              <w:rPr>
                <w:sz w:val="17"/>
              </w:rPr>
              <w:t>导盲犬</w:t>
            </w:r>
          </w:p>
        </w:tc>
        <w:tc>
          <w:tcPr>
            <w:tcW w:w="1417" w:type="dxa"/>
            <w:shd w:val="clear" w:color="auto" w:fill="FAFAF8"/>
            <w:tcMar>
              <w:top w:w="90" w:type="dxa"/>
              <w:left w:w="100" w:type="dxa"/>
              <w:bottom w:w="90" w:type="dxa"/>
              <w:right w:w="100" w:type="dxa"/>
            </w:tcMar>
            <w:vAlign w:val="center"/>
          </w:tcPr>
          <w:p w14:paraId="6CC1D534">
            <w:pPr>
              <w:spacing w:before="0" w:after="0" w:line="269" w:lineRule="auto"/>
              <w:jc w:val="center"/>
            </w:pPr>
            <w:r>
              <w:rPr>
                <w:sz w:val="17"/>
              </w:rPr>
              <w:t>卫生问题</w:t>
            </w:r>
          </w:p>
        </w:tc>
        <w:tc>
          <w:tcPr>
            <w:tcW w:w="2778" w:type="dxa"/>
            <w:shd w:val="clear" w:color="auto" w:fill="FAFAF8"/>
            <w:tcMar>
              <w:top w:w="90" w:type="dxa"/>
              <w:left w:w="100" w:type="dxa"/>
              <w:bottom w:w="90" w:type="dxa"/>
              <w:right w:w="100" w:type="dxa"/>
            </w:tcMar>
            <w:vAlign w:val="center"/>
          </w:tcPr>
          <w:p w14:paraId="631D1995">
            <w:pPr>
              <w:spacing w:before="0" w:after="0" w:line="269" w:lineRule="auto"/>
              <w:jc w:val="left"/>
            </w:pPr>
            <w:r>
              <w:rPr>
                <w:sz w:val="17"/>
              </w:rPr>
              <w:t>担心导盲犬带来掉毛、异味、清洁、大小便、过敏等问题</w:t>
            </w:r>
          </w:p>
        </w:tc>
        <w:tc>
          <w:tcPr>
            <w:tcW w:w="2948" w:type="dxa"/>
            <w:shd w:val="clear" w:color="auto" w:fill="FAFAF8"/>
            <w:tcMar>
              <w:top w:w="90" w:type="dxa"/>
              <w:left w:w="100" w:type="dxa"/>
              <w:bottom w:w="90" w:type="dxa"/>
              <w:right w:w="100" w:type="dxa"/>
            </w:tcMar>
            <w:vAlign w:val="center"/>
          </w:tcPr>
          <w:p w14:paraId="6E6B6655">
            <w:pPr>
              <w:spacing w:before="0" w:after="0" w:line="269" w:lineRule="auto"/>
              <w:jc w:val="left"/>
            </w:pPr>
            <w:r>
              <w:rPr>
                <w:sz w:val="17"/>
              </w:rPr>
              <w:t>“怕掉毛”“怕在房间拉”“怕有味道”“怕客人过敏”</w:t>
            </w:r>
          </w:p>
        </w:tc>
      </w:tr>
      <w:tr w14:paraId="01120A1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59587622">
            <w:pPr>
              <w:spacing w:before="0" w:after="0" w:line="269" w:lineRule="auto"/>
              <w:jc w:val="center"/>
            </w:pPr>
            <w:r>
              <w:rPr>
                <w:sz w:val="17"/>
              </w:rPr>
              <w:t>导盲犬</w:t>
            </w:r>
          </w:p>
        </w:tc>
        <w:tc>
          <w:tcPr>
            <w:tcW w:w="1417" w:type="dxa"/>
            <w:shd w:val="clear" w:color="auto" w:fill="FFFFFF"/>
            <w:tcMar>
              <w:top w:w="90" w:type="dxa"/>
              <w:left w:w="100" w:type="dxa"/>
              <w:bottom w:w="90" w:type="dxa"/>
              <w:right w:w="100" w:type="dxa"/>
            </w:tcMar>
            <w:vAlign w:val="center"/>
          </w:tcPr>
          <w:p w14:paraId="31B8E9E4">
            <w:pPr>
              <w:spacing w:before="0" w:after="0" w:line="269" w:lineRule="auto"/>
              <w:jc w:val="center"/>
            </w:pPr>
            <w:r>
              <w:rPr>
                <w:sz w:val="17"/>
              </w:rPr>
              <w:t>噪音问题</w:t>
            </w:r>
          </w:p>
        </w:tc>
        <w:tc>
          <w:tcPr>
            <w:tcW w:w="2778" w:type="dxa"/>
            <w:shd w:val="clear" w:color="auto" w:fill="FFFFFF"/>
            <w:tcMar>
              <w:top w:w="90" w:type="dxa"/>
              <w:left w:w="100" w:type="dxa"/>
              <w:bottom w:w="90" w:type="dxa"/>
              <w:right w:w="100" w:type="dxa"/>
            </w:tcMar>
            <w:vAlign w:val="center"/>
          </w:tcPr>
          <w:p w14:paraId="1DF1AD1E">
            <w:pPr>
              <w:spacing w:before="0" w:after="0" w:line="269" w:lineRule="auto"/>
              <w:jc w:val="left"/>
            </w:pPr>
            <w:r>
              <w:rPr>
                <w:sz w:val="17"/>
              </w:rPr>
              <w:t>担心导盲犬夜间叫声、吠叫或其他声音影响住客休息</w:t>
            </w:r>
          </w:p>
        </w:tc>
        <w:tc>
          <w:tcPr>
            <w:tcW w:w="2948" w:type="dxa"/>
            <w:shd w:val="clear" w:color="auto" w:fill="FFFFFF"/>
            <w:tcMar>
              <w:top w:w="90" w:type="dxa"/>
              <w:left w:w="100" w:type="dxa"/>
              <w:bottom w:w="90" w:type="dxa"/>
              <w:right w:w="100" w:type="dxa"/>
            </w:tcMar>
            <w:vAlign w:val="center"/>
          </w:tcPr>
          <w:p w14:paraId="5B8B10D8">
            <w:pPr>
              <w:spacing w:before="0" w:after="0" w:line="269" w:lineRule="auto"/>
              <w:jc w:val="center"/>
            </w:pPr>
            <w:r>
              <w:rPr>
                <w:sz w:val="17"/>
              </w:rPr>
              <w:t>“晚上叫怎么办”“怕影响客人休息”</w:t>
            </w:r>
          </w:p>
        </w:tc>
      </w:tr>
      <w:tr w14:paraId="36A86E27">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AFAF8"/>
            <w:tcMar>
              <w:top w:w="90" w:type="dxa"/>
              <w:left w:w="100" w:type="dxa"/>
              <w:bottom w:w="90" w:type="dxa"/>
              <w:right w:w="100" w:type="dxa"/>
            </w:tcMar>
            <w:vAlign w:val="center"/>
          </w:tcPr>
          <w:p w14:paraId="2C1A8D45">
            <w:pPr>
              <w:spacing w:before="0" w:after="0" w:line="269" w:lineRule="auto"/>
              <w:jc w:val="center"/>
            </w:pPr>
            <w:r>
              <w:rPr>
                <w:sz w:val="17"/>
              </w:rPr>
              <w:t>导盲犬</w:t>
            </w:r>
          </w:p>
        </w:tc>
        <w:tc>
          <w:tcPr>
            <w:tcW w:w="1417" w:type="dxa"/>
            <w:shd w:val="clear" w:color="auto" w:fill="FAFAF8"/>
            <w:tcMar>
              <w:top w:w="90" w:type="dxa"/>
              <w:left w:w="100" w:type="dxa"/>
              <w:bottom w:w="90" w:type="dxa"/>
              <w:right w:w="100" w:type="dxa"/>
            </w:tcMar>
            <w:vAlign w:val="center"/>
          </w:tcPr>
          <w:p w14:paraId="11AA5348">
            <w:pPr>
              <w:spacing w:before="0" w:after="0" w:line="269" w:lineRule="auto"/>
              <w:jc w:val="center"/>
            </w:pPr>
            <w:r>
              <w:rPr>
                <w:sz w:val="17"/>
              </w:rPr>
              <w:t>客诉压力</w:t>
            </w:r>
          </w:p>
        </w:tc>
        <w:tc>
          <w:tcPr>
            <w:tcW w:w="2778" w:type="dxa"/>
            <w:shd w:val="clear" w:color="auto" w:fill="FAFAF8"/>
            <w:tcMar>
              <w:top w:w="90" w:type="dxa"/>
              <w:left w:w="100" w:type="dxa"/>
              <w:bottom w:w="90" w:type="dxa"/>
              <w:right w:w="100" w:type="dxa"/>
            </w:tcMar>
            <w:vAlign w:val="center"/>
          </w:tcPr>
          <w:p w14:paraId="4E49AD83">
            <w:pPr>
              <w:spacing w:before="0" w:after="0" w:line="269" w:lineRule="auto"/>
              <w:jc w:val="left"/>
            </w:pPr>
            <w:r>
              <w:rPr>
                <w:sz w:val="17"/>
              </w:rPr>
              <w:t>担心其他住客害怕、投诉、差评或无法接受导盲犬进入酒店</w:t>
            </w:r>
          </w:p>
        </w:tc>
        <w:tc>
          <w:tcPr>
            <w:tcW w:w="2948" w:type="dxa"/>
            <w:shd w:val="clear" w:color="auto" w:fill="FAFAF8"/>
            <w:tcMar>
              <w:top w:w="90" w:type="dxa"/>
              <w:left w:w="100" w:type="dxa"/>
              <w:bottom w:w="90" w:type="dxa"/>
              <w:right w:w="100" w:type="dxa"/>
            </w:tcMar>
            <w:vAlign w:val="center"/>
          </w:tcPr>
          <w:p w14:paraId="7B924D32">
            <w:pPr>
              <w:spacing w:before="0" w:after="0" w:line="269" w:lineRule="auto"/>
              <w:jc w:val="left"/>
            </w:pPr>
            <w:r>
              <w:rPr>
                <w:sz w:val="17"/>
              </w:rPr>
              <w:t>“怕客人投诉”“怕影响其他客人”“别人看到会害怕”</w:t>
            </w:r>
          </w:p>
        </w:tc>
      </w:tr>
      <w:tr w14:paraId="424A2D51">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769692B9">
            <w:pPr>
              <w:spacing w:before="0" w:after="0" w:line="269" w:lineRule="auto"/>
              <w:jc w:val="center"/>
            </w:pPr>
            <w:r>
              <w:rPr>
                <w:sz w:val="17"/>
              </w:rPr>
              <w:t>导盲犬</w:t>
            </w:r>
          </w:p>
        </w:tc>
        <w:tc>
          <w:tcPr>
            <w:tcW w:w="1417" w:type="dxa"/>
            <w:shd w:val="clear" w:color="auto" w:fill="FFFFFF"/>
            <w:tcMar>
              <w:top w:w="90" w:type="dxa"/>
              <w:left w:w="100" w:type="dxa"/>
              <w:bottom w:w="90" w:type="dxa"/>
              <w:right w:w="100" w:type="dxa"/>
            </w:tcMar>
            <w:vAlign w:val="center"/>
          </w:tcPr>
          <w:p w14:paraId="0987CB21">
            <w:pPr>
              <w:spacing w:before="0" w:after="0" w:line="269" w:lineRule="auto"/>
              <w:jc w:val="center"/>
            </w:pPr>
            <w:r>
              <w:rPr>
                <w:sz w:val="17"/>
              </w:rPr>
              <w:t>财产损耗</w:t>
            </w:r>
          </w:p>
        </w:tc>
        <w:tc>
          <w:tcPr>
            <w:tcW w:w="2778" w:type="dxa"/>
            <w:shd w:val="clear" w:color="auto" w:fill="FFFFFF"/>
            <w:tcMar>
              <w:top w:w="90" w:type="dxa"/>
              <w:left w:w="100" w:type="dxa"/>
              <w:bottom w:w="90" w:type="dxa"/>
              <w:right w:w="100" w:type="dxa"/>
            </w:tcMar>
            <w:vAlign w:val="center"/>
          </w:tcPr>
          <w:p w14:paraId="398877A5">
            <w:pPr>
              <w:spacing w:before="0" w:after="0" w:line="269" w:lineRule="auto"/>
              <w:jc w:val="left"/>
            </w:pPr>
            <w:r>
              <w:rPr>
                <w:sz w:val="17"/>
              </w:rPr>
              <w:t>担心导盲犬损坏床品、地板、沙发、家具或其他客房设施</w:t>
            </w:r>
          </w:p>
        </w:tc>
        <w:tc>
          <w:tcPr>
            <w:tcW w:w="2948" w:type="dxa"/>
            <w:shd w:val="clear" w:color="auto" w:fill="FFFFFF"/>
            <w:tcMar>
              <w:top w:w="90" w:type="dxa"/>
              <w:left w:w="100" w:type="dxa"/>
              <w:bottom w:w="90" w:type="dxa"/>
              <w:right w:w="100" w:type="dxa"/>
            </w:tcMar>
            <w:vAlign w:val="center"/>
          </w:tcPr>
          <w:p w14:paraId="4362D9CC">
            <w:pPr>
              <w:spacing w:before="0" w:after="0" w:line="269" w:lineRule="auto"/>
              <w:jc w:val="center"/>
            </w:pPr>
            <w:r>
              <w:rPr>
                <w:sz w:val="17"/>
              </w:rPr>
              <w:t>“咬坏东西要赔”“怕弄坏房间设施”</w:t>
            </w:r>
          </w:p>
        </w:tc>
      </w:tr>
      <w:tr w14:paraId="034E107C">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AFAF8"/>
            <w:tcMar>
              <w:top w:w="90" w:type="dxa"/>
              <w:left w:w="100" w:type="dxa"/>
              <w:bottom w:w="90" w:type="dxa"/>
              <w:right w:w="100" w:type="dxa"/>
            </w:tcMar>
            <w:vAlign w:val="center"/>
          </w:tcPr>
          <w:p w14:paraId="32B95DD5">
            <w:pPr>
              <w:spacing w:before="0" w:after="0" w:line="269" w:lineRule="auto"/>
              <w:jc w:val="center"/>
            </w:pPr>
            <w:r>
              <w:rPr>
                <w:sz w:val="17"/>
              </w:rPr>
              <w:t>导盲犬</w:t>
            </w:r>
          </w:p>
        </w:tc>
        <w:tc>
          <w:tcPr>
            <w:tcW w:w="1417" w:type="dxa"/>
            <w:shd w:val="clear" w:color="auto" w:fill="FAFAF8"/>
            <w:tcMar>
              <w:top w:w="90" w:type="dxa"/>
              <w:left w:w="100" w:type="dxa"/>
              <w:bottom w:w="90" w:type="dxa"/>
              <w:right w:w="100" w:type="dxa"/>
            </w:tcMar>
            <w:vAlign w:val="center"/>
          </w:tcPr>
          <w:p w14:paraId="0C519351">
            <w:pPr>
              <w:spacing w:before="0" w:after="0" w:line="269" w:lineRule="auto"/>
              <w:jc w:val="center"/>
            </w:pPr>
            <w:r>
              <w:rPr>
                <w:sz w:val="17"/>
              </w:rPr>
              <w:t>安全问题</w:t>
            </w:r>
          </w:p>
        </w:tc>
        <w:tc>
          <w:tcPr>
            <w:tcW w:w="2778" w:type="dxa"/>
            <w:shd w:val="clear" w:color="auto" w:fill="FAFAF8"/>
            <w:tcMar>
              <w:top w:w="90" w:type="dxa"/>
              <w:left w:w="100" w:type="dxa"/>
              <w:bottom w:w="90" w:type="dxa"/>
              <w:right w:w="100" w:type="dxa"/>
            </w:tcMar>
            <w:vAlign w:val="center"/>
          </w:tcPr>
          <w:p w14:paraId="308D4339">
            <w:pPr>
              <w:spacing w:before="0" w:after="0" w:line="269" w:lineRule="auto"/>
              <w:jc w:val="left"/>
            </w:pPr>
            <w:r>
              <w:rPr>
                <w:sz w:val="17"/>
              </w:rPr>
              <w:t>担心导盲犬咬人、扑人、失控、攻击陌生人或造成安全事故</w:t>
            </w:r>
          </w:p>
        </w:tc>
        <w:tc>
          <w:tcPr>
            <w:tcW w:w="2948" w:type="dxa"/>
            <w:shd w:val="clear" w:color="auto" w:fill="FAFAF8"/>
            <w:tcMar>
              <w:top w:w="90" w:type="dxa"/>
              <w:left w:w="100" w:type="dxa"/>
              <w:bottom w:w="90" w:type="dxa"/>
              <w:right w:w="100" w:type="dxa"/>
            </w:tcMar>
            <w:vAlign w:val="center"/>
          </w:tcPr>
          <w:p w14:paraId="3658AF69">
            <w:pPr>
              <w:spacing w:before="0" w:after="0" w:line="269" w:lineRule="auto"/>
              <w:jc w:val="left"/>
            </w:pPr>
            <w:r>
              <w:rPr>
                <w:sz w:val="17"/>
              </w:rPr>
              <w:t>“会不会咬人”“对陌生人有没有攻击性”“要不要戴嘴套”</w:t>
            </w:r>
          </w:p>
        </w:tc>
      </w:tr>
      <w:tr w14:paraId="6DEA7C54">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64DB2782">
            <w:pPr>
              <w:spacing w:before="0" w:after="0" w:line="269" w:lineRule="auto"/>
              <w:jc w:val="center"/>
            </w:pPr>
            <w:r>
              <w:rPr>
                <w:sz w:val="17"/>
              </w:rPr>
              <w:t>导盲犬</w:t>
            </w:r>
          </w:p>
        </w:tc>
        <w:tc>
          <w:tcPr>
            <w:tcW w:w="1417" w:type="dxa"/>
            <w:shd w:val="clear" w:color="auto" w:fill="FFFFFF"/>
            <w:tcMar>
              <w:top w:w="90" w:type="dxa"/>
              <w:left w:w="100" w:type="dxa"/>
              <w:bottom w:w="90" w:type="dxa"/>
              <w:right w:w="100" w:type="dxa"/>
            </w:tcMar>
            <w:vAlign w:val="center"/>
          </w:tcPr>
          <w:p w14:paraId="4687847D">
            <w:pPr>
              <w:spacing w:before="0" w:after="0" w:line="269" w:lineRule="auto"/>
              <w:jc w:val="center"/>
            </w:pPr>
            <w:r>
              <w:rPr>
                <w:sz w:val="17"/>
              </w:rPr>
              <w:t>空间不适配</w:t>
            </w:r>
          </w:p>
        </w:tc>
        <w:tc>
          <w:tcPr>
            <w:tcW w:w="2778" w:type="dxa"/>
            <w:shd w:val="clear" w:color="auto" w:fill="FFFFFF"/>
            <w:tcMar>
              <w:top w:w="90" w:type="dxa"/>
              <w:left w:w="100" w:type="dxa"/>
              <w:bottom w:w="90" w:type="dxa"/>
              <w:right w:w="100" w:type="dxa"/>
            </w:tcMar>
            <w:vAlign w:val="center"/>
          </w:tcPr>
          <w:p w14:paraId="57F28D38">
            <w:pPr>
              <w:spacing w:before="0" w:after="0" w:line="269" w:lineRule="auto"/>
              <w:jc w:val="left"/>
            </w:pPr>
            <w:r>
              <w:rPr>
                <w:sz w:val="17"/>
              </w:rPr>
              <w:t>认为酒店没有合适空间安置导盲犬，或认为房间、走廊、公共区域等环境不适合导盲犬进入</w:t>
            </w:r>
          </w:p>
        </w:tc>
        <w:tc>
          <w:tcPr>
            <w:tcW w:w="2948" w:type="dxa"/>
            <w:shd w:val="clear" w:color="auto" w:fill="FFFFFF"/>
            <w:tcMar>
              <w:top w:w="90" w:type="dxa"/>
              <w:left w:w="100" w:type="dxa"/>
              <w:bottom w:w="90" w:type="dxa"/>
              <w:right w:w="100" w:type="dxa"/>
            </w:tcMar>
            <w:vAlign w:val="center"/>
          </w:tcPr>
          <w:p w14:paraId="0F208712">
            <w:pPr>
              <w:spacing w:before="0" w:after="0" w:line="269" w:lineRule="auto"/>
              <w:jc w:val="left"/>
            </w:pPr>
            <w:r>
              <w:rPr>
                <w:sz w:val="17"/>
              </w:rPr>
              <w:t>“没有放狗的地方”“房间太小”“我们这边环境不适合”</w:t>
            </w:r>
          </w:p>
        </w:tc>
      </w:tr>
      <w:tr w14:paraId="56BB4CDB">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AFAF8"/>
            <w:tcMar>
              <w:top w:w="90" w:type="dxa"/>
              <w:left w:w="100" w:type="dxa"/>
              <w:bottom w:w="90" w:type="dxa"/>
              <w:right w:w="100" w:type="dxa"/>
            </w:tcMar>
            <w:vAlign w:val="center"/>
          </w:tcPr>
          <w:p w14:paraId="57B08498">
            <w:pPr>
              <w:spacing w:before="0" w:after="0" w:line="269" w:lineRule="auto"/>
              <w:jc w:val="center"/>
            </w:pPr>
            <w:r>
              <w:rPr>
                <w:sz w:val="17"/>
              </w:rPr>
              <w:t>视障者</w:t>
            </w:r>
          </w:p>
        </w:tc>
        <w:tc>
          <w:tcPr>
            <w:tcW w:w="1417" w:type="dxa"/>
            <w:shd w:val="clear" w:color="auto" w:fill="FAFAF8"/>
            <w:tcMar>
              <w:top w:w="90" w:type="dxa"/>
              <w:left w:w="100" w:type="dxa"/>
              <w:bottom w:w="90" w:type="dxa"/>
              <w:right w:w="100" w:type="dxa"/>
            </w:tcMar>
            <w:vAlign w:val="center"/>
          </w:tcPr>
          <w:p w14:paraId="29DBB295">
            <w:pPr>
              <w:spacing w:before="0" w:after="0" w:line="269" w:lineRule="auto"/>
              <w:jc w:val="center"/>
            </w:pPr>
            <w:r>
              <w:rPr>
                <w:sz w:val="17"/>
              </w:rPr>
              <w:t>独立入住能力存疑</w:t>
            </w:r>
          </w:p>
        </w:tc>
        <w:tc>
          <w:tcPr>
            <w:tcW w:w="2778" w:type="dxa"/>
            <w:shd w:val="clear" w:color="auto" w:fill="FAFAF8"/>
            <w:tcMar>
              <w:top w:w="90" w:type="dxa"/>
              <w:left w:w="100" w:type="dxa"/>
              <w:bottom w:w="90" w:type="dxa"/>
              <w:right w:w="100" w:type="dxa"/>
            </w:tcMar>
            <w:vAlign w:val="center"/>
          </w:tcPr>
          <w:p w14:paraId="6C5EBF2A">
            <w:pPr>
              <w:spacing w:before="0" w:after="0" w:line="269" w:lineRule="auto"/>
              <w:jc w:val="left"/>
            </w:pPr>
            <w:r>
              <w:rPr>
                <w:sz w:val="17"/>
              </w:rPr>
              <w:t>怀疑视障者能否独立办理入住、行动、安全居住，或认为其必须有人陪同</w:t>
            </w:r>
          </w:p>
        </w:tc>
        <w:tc>
          <w:tcPr>
            <w:tcW w:w="2948" w:type="dxa"/>
            <w:shd w:val="clear" w:color="auto" w:fill="FAFAF8"/>
            <w:tcMar>
              <w:top w:w="90" w:type="dxa"/>
              <w:left w:w="100" w:type="dxa"/>
              <w:bottom w:w="90" w:type="dxa"/>
              <w:right w:w="100" w:type="dxa"/>
            </w:tcMar>
            <w:vAlign w:val="center"/>
          </w:tcPr>
          <w:p w14:paraId="09D8A193">
            <w:pPr>
              <w:spacing w:before="0" w:after="0" w:line="269" w:lineRule="auto"/>
              <w:jc w:val="left"/>
            </w:pPr>
            <w:r>
              <w:rPr>
                <w:sz w:val="17"/>
              </w:rPr>
              <w:t>“你有人陪吗”“怕你一个人不方便”“万一出事酒店担不起责任”</w:t>
            </w:r>
          </w:p>
        </w:tc>
      </w:tr>
      <w:tr w14:paraId="717F1A1B">
        <w:tblPrEx>
          <w:tblBorders>
            <w:top w:val="single" w:color="737373" w:sz="6" w:space="0"/>
            <w:left w:val="single" w:color="737373" w:sz="6" w:space="0"/>
            <w:bottom w:val="single" w:color="737373" w:sz="6" w:space="0"/>
            <w:right w:val="single" w:color="737373" w:sz="6" w:space="0"/>
            <w:insideH w:val="single" w:color="737373" w:sz="6" w:space="0"/>
            <w:insideV w:val="single" w:color="737373" w:sz="6" w:space="0"/>
          </w:tblBorders>
          <w:tblCellMar>
            <w:top w:w="0" w:type="dxa"/>
            <w:left w:w="108" w:type="dxa"/>
            <w:bottom w:w="0" w:type="dxa"/>
            <w:right w:w="108" w:type="dxa"/>
          </w:tblCellMar>
        </w:tblPrEx>
        <w:trPr>
          <w:cantSplit/>
          <w:jc w:val="center"/>
        </w:trPr>
        <w:tc>
          <w:tcPr>
            <w:tcW w:w="1134" w:type="dxa"/>
            <w:shd w:val="clear" w:color="auto" w:fill="FFFFFF"/>
            <w:tcMar>
              <w:top w:w="90" w:type="dxa"/>
              <w:left w:w="100" w:type="dxa"/>
              <w:bottom w:w="90" w:type="dxa"/>
              <w:right w:w="100" w:type="dxa"/>
            </w:tcMar>
            <w:vAlign w:val="center"/>
          </w:tcPr>
          <w:p w14:paraId="6A806032">
            <w:pPr>
              <w:spacing w:before="0" w:after="0" w:line="269" w:lineRule="auto"/>
              <w:jc w:val="center"/>
            </w:pPr>
            <w:r>
              <w:rPr>
                <w:sz w:val="17"/>
              </w:rPr>
              <w:t>视障者</w:t>
            </w:r>
          </w:p>
        </w:tc>
        <w:tc>
          <w:tcPr>
            <w:tcW w:w="1417" w:type="dxa"/>
            <w:shd w:val="clear" w:color="auto" w:fill="FFFFFF"/>
            <w:tcMar>
              <w:top w:w="90" w:type="dxa"/>
              <w:left w:w="100" w:type="dxa"/>
              <w:bottom w:w="90" w:type="dxa"/>
              <w:right w:w="100" w:type="dxa"/>
            </w:tcMar>
            <w:vAlign w:val="center"/>
          </w:tcPr>
          <w:p w14:paraId="59F75AEB">
            <w:pPr>
              <w:spacing w:before="0" w:after="0" w:line="269" w:lineRule="auto"/>
              <w:jc w:val="center"/>
            </w:pPr>
            <w:r>
              <w:rPr>
                <w:sz w:val="17"/>
              </w:rPr>
              <w:t>管理导盲犬能力存疑</w:t>
            </w:r>
          </w:p>
        </w:tc>
        <w:tc>
          <w:tcPr>
            <w:tcW w:w="2778" w:type="dxa"/>
            <w:shd w:val="clear" w:color="auto" w:fill="FFFFFF"/>
            <w:tcMar>
              <w:top w:w="90" w:type="dxa"/>
              <w:left w:w="100" w:type="dxa"/>
              <w:bottom w:w="90" w:type="dxa"/>
              <w:right w:w="100" w:type="dxa"/>
            </w:tcMar>
            <w:vAlign w:val="center"/>
          </w:tcPr>
          <w:p w14:paraId="0167D3C6">
            <w:pPr>
              <w:spacing w:before="0" w:after="0" w:line="269" w:lineRule="auto"/>
              <w:jc w:val="left"/>
            </w:pPr>
            <w:r>
              <w:rPr>
                <w:sz w:val="17"/>
              </w:rPr>
              <w:t>怀疑视障者能否管理导盲犬，或将视力障碍与无法控制、照看导盲犬联系起来</w:t>
            </w:r>
          </w:p>
        </w:tc>
        <w:tc>
          <w:tcPr>
            <w:tcW w:w="2948" w:type="dxa"/>
            <w:shd w:val="clear" w:color="auto" w:fill="FFFFFF"/>
            <w:tcMar>
              <w:top w:w="90" w:type="dxa"/>
              <w:left w:w="100" w:type="dxa"/>
              <w:bottom w:w="90" w:type="dxa"/>
              <w:right w:w="100" w:type="dxa"/>
            </w:tcMar>
            <w:vAlign w:val="center"/>
          </w:tcPr>
          <w:p w14:paraId="073403B6">
            <w:pPr>
              <w:spacing w:before="0" w:after="0" w:line="269" w:lineRule="auto"/>
              <w:jc w:val="center"/>
            </w:pPr>
            <w:r>
              <w:rPr>
                <w:sz w:val="17"/>
              </w:rPr>
              <w:t>“要管好它”“别让它乱跑”</w:t>
            </w:r>
          </w:p>
        </w:tc>
      </w:tr>
    </w:tbl>
    <w:p w14:paraId="341983F8"/>
    <w:p w14:paraId="51E89098">
      <w:pPr>
        <w:pStyle w:val="174"/>
      </w:pPr>
      <w:r>
        <w:t>统计口径｜拒绝理由采用多标签统计。同一通电话中出现多个担忧理由时，分别计入相应标签；同一标签在同一通电话中计1次。分析单位为891条已完成转写并可识别具体担忧理由的回应记录。沟通统计以782次独立通话和558家有效反馈门店为单位。“电话覆盖率”为某一标签出现频次除以891条可编码回应记录；同一条记录可包含多个标签，因此各标签的电话覆盖率合计可能超过100%。“拒绝理由占比”为某一理由出现频次除以1344次拒绝理由出现频次总和。1344为所有拒绝理由标签的出现频次之和，拒绝理由构成比合计为100%。</w:t>
      </w:r>
    </w:p>
    <w:p w14:paraId="61FFE657">
      <w:pPr>
        <w:pStyle w:val="4"/>
      </w:pPr>
      <w:bookmarkStart w:id="63" w:name="_Toc240635851"/>
      <w:bookmarkStart w:id="64" w:name="_Toc239432631"/>
      <w:r>
        <w:t>三 数据来源与排名解释</w:t>
      </w:r>
      <w:bookmarkEnd w:id="63"/>
      <w:bookmarkEnd w:id="64"/>
    </w:p>
    <w:p w14:paraId="3134909E">
      <w:r>
        <w:t>结果依据门店记录、通话统计、附带条件编码和担忧理由编码四个数据层级。排名解释同时列出样本量与单家门店对比例的影响。</w:t>
      </w:r>
    </w:p>
    <w:p w14:paraId="489CBE49">
      <w:pPr>
        <w:pStyle w:val="5"/>
      </w:pPr>
      <w:r>
        <w:t>（一）数据层级与复核范围</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2835"/>
        <w:gridCol w:w="3969"/>
      </w:tblGrid>
      <w:tr w14:paraId="21E16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74" w:type="dxa"/>
            <w:shd w:val="clear" w:color="auto" w:fill="DDEBF7"/>
            <w:tcMar>
              <w:top w:w="90" w:type="dxa"/>
              <w:left w:w="110" w:type="dxa"/>
              <w:bottom w:w="90" w:type="dxa"/>
              <w:right w:w="110" w:type="dxa"/>
            </w:tcMar>
            <w:vAlign w:val="center"/>
          </w:tcPr>
          <w:p w14:paraId="403CDBE6">
            <w:pPr>
              <w:keepNext/>
              <w:spacing w:before="0" w:after="0" w:line="269" w:lineRule="auto"/>
            </w:pPr>
            <w:r>
              <w:rPr>
                <w:b/>
                <w:color w:val="17365D"/>
                <w:sz w:val="16"/>
              </w:rPr>
              <w:t>数据层级</w:t>
            </w:r>
          </w:p>
        </w:tc>
        <w:tc>
          <w:tcPr>
            <w:tcW w:w="2835" w:type="dxa"/>
            <w:shd w:val="clear" w:color="auto" w:fill="DDEBF7"/>
            <w:tcMar>
              <w:top w:w="90" w:type="dxa"/>
              <w:left w:w="110" w:type="dxa"/>
              <w:bottom w:w="90" w:type="dxa"/>
              <w:right w:w="110" w:type="dxa"/>
            </w:tcMar>
            <w:vAlign w:val="center"/>
          </w:tcPr>
          <w:p w14:paraId="79CCD72D">
            <w:pPr>
              <w:keepNext/>
              <w:spacing w:before="0" w:after="0" w:line="269" w:lineRule="auto"/>
            </w:pPr>
            <w:r>
              <w:rPr>
                <w:b/>
                <w:color w:val="17365D"/>
                <w:sz w:val="16"/>
              </w:rPr>
              <w:t>来源与规模</w:t>
            </w:r>
          </w:p>
        </w:tc>
        <w:tc>
          <w:tcPr>
            <w:tcW w:w="3969" w:type="dxa"/>
            <w:shd w:val="clear" w:color="auto" w:fill="DDEBF7"/>
            <w:tcMar>
              <w:top w:w="90" w:type="dxa"/>
              <w:left w:w="110" w:type="dxa"/>
              <w:bottom w:w="90" w:type="dxa"/>
              <w:right w:w="110" w:type="dxa"/>
            </w:tcMar>
            <w:vAlign w:val="center"/>
          </w:tcPr>
          <w:p w14:paraId="4267C445">
            <w:pPr>
              <w:keepNext/>
              <w:spacing w:before="0" w:after="0" w:line="269" w:lineRule="auto"/>
            </w:pPr>
            <w:r>
              <w:t>复核内容</w:t>
            </w:r>
          </w:p>
        </w:tc>
      </w:tr>
      <w:tr w14:paraId="7B4886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tcMar>
              <w:top w:w="90" w:type="dxa"/>
              <w:left w:w="110" w:type="dxa"/>
              <w:bottom w:w="90" w:type="dxa"/>
              <w:right w:w="110" w:type="dxa"/>
            </w:tcMar>
            <w:vAlign w:val="center"/>
          </w:tcPr>
          <w:p w14:paraId="6013DC80">
            <w:pPr>
              <w:spacing w:before="0" w:after="0" w:line="269" w:lineRule="auto"/>
            </w:pPr>
            <w:r>
              <w:rPr>
                <w:sz w:val="16"/>
              </w:rPr>
              <w:t>门店记录</w:t>
            </w:r>
          </w:p>
        </w:tc>
        <w:tc>
          <w:tcPr>
            <w:tcW w:w="2835" w:type="dxa"/>
            <w:tcMar>
              <w:top w:w="90" w:type="dxa"/>
              <w:left w:w="110" w:type="dxa"/>
              <w:bottom w:w="90" w:type="dxa"/>
              <w:right w:w="110" w:type="dxa"/>
            </w:tcMar>
            <w:vAlign w:val="center"/>
          </w:tcPr>
          <w:p w14:paraId="74FF13A8">
            <w:pPr>
              <w:spacing w:before="0" w:after="0" w:line="269" w:lineRule="auto"/>
            </w:pPr>
            <w:r>
              <w:rPr>
                <w:sz w:val="16"/>
              </w:rPr>
              <w:t>《20260523 原始数据.xlsx》；558家有效反馈门店</w:t>
            </w:r>
          </w:p>
        </w:tc>
        <w:tc>
          <w:tcPr>
            <w:tcW w:w="3969" w:type="dxa"/>
            <w:tcMar>
              <w:top w:w="90" w:type="dxa"/>
              <w:left w:w="110" w:type="dxa"/>
              <w:bottom w:w="90" w:type="dxa"/>
              <w:right w:w="110" w:type="dxa"/>
            </w:tcMar>
            <w:vAlign w:val="center"/>
          </w:tcPr>
          <w:p w14:paraId="78A20937">
            <w:pPr>
              <w:spacing w:before="0" w:after="0" w:line="269" w:lineRule="auto"/>
            </w:pPr>
            <w:r>
              <w:rPr>
                <w:sz w:val="16"/>
              </w:rPr>
              <w:t>复核城市、品牌、答复结果、独立通话次数和最终答复者。</w:t>
            </w:r>
          </w:p>
        </w:tc>
      </w:tr>
      <w:tr w14:paraId="6DE70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shd w:val="clear" w:color="auto" w:fill="F3F7FA"/>
            <w:tcMar>
              <w:top w:w="90" w:type="dxa"/>
              <w:left w:w="110" w:type="dxa"/>
              <w:bottom w:w="90" w:type="dxa"/>
              <w:right w:w="110" w:type="dxa"/>
            </w:tcMar>
            <w:vAlign w:val="center"/>
          </w:tcPr>
          <w:p w14:paraId="285BEE22">
            <w:pPr>
              <w:spacing w:before="0" w:after="0" w:line="269" w:lineRule="auto"/>
            </w:pPr>
            <w:r>
              <w:rPr>
                <w:sz w:val="16"/>
              </w:rPr>
              <w:t>通话统计</w:t>
            </w:r>
          </w:p>
        </w:tc>
        <w:tc>
          <w:tcPr>
            <w:tcW w:w="2835" w:type="dxa"/>
            <w:shd w:val="clear" w:color="auto" w:fill="F3F7FA"/>
            <w:tcMar>
              <w:top w:w="90" w:type="dxa"/>
              <w:left w:w="110" w:type="dxa"/>
              <w:bottom w:w="90" w:type="dxa"/>
              <w:right w:w="110" w:type="dxa"/>
            </w:tcMar>
            <w:vAlign w:val="center"/>
          </w:tcPr>
          <w:p w14:paraId="69CB52E9">
            <w:pPr>
              <w:spacing w:before="0" w:after="0" w:line="269" w:lineRule="auto"/>
            </w:pPr>
            <w:r>
              <w:rPr>
                <w:sz w:val="16"/>
              </w:rPr>
              <w:t>由558行门店记录汇总；共782次独立通话</w:t>
            </w:r>
          </w:p>
        </w:tc>
        <w:tc>
          <w:tcPr>
            <w:tcW w:w="3969" w:type="dxa"/>
            <w:shd w:val="clear" w:color="auto" w:fill="F3F7FA"/>
            <w:tcMar>
              <w:top w:w="90" w:type="dxa"/>
              <w:left w:w="110" w:type="dxa"/>
              <w:bottom w:w="90" w:type="dxa"/>
              <w:right w:w="110" w:type="dxa"/>
            </w:tcMar>
            <w:vAlign w:val="center"/>
          </w:tcPr>
          <w:p w14:paraId="38389634">
            <w:pPr>
              <w:spacing w:before="0" w:after="0" w:line="269" w:lineRule="auto"/>
            </w:pPr>
            <w:r>
              <w:rPr>
                <w:sz w:val="16"/>
              </w:rPr>
              <w:t>用于一次通话接纳率、2次及以上通话比例和平均通话次数。</w:t>
            </w:r>
          </w:p>
        </w:tc>
      </w:tr>
      <w:tr w14:paraId="67C7D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tcMar>
              <w:top w:w="90" w:type="dxa"/>
              <w:left w:w="110" w:type="dxa"/>
              <w:bottom w:w="90" w:type="dxa"/>
              <w:right w:w="110" w:type="dxa"/>
            </w:tcMar>
            <w:vAlign w:val="center"/>
          </w:tcPr>
          <w:p w14:paraId="544692F8">
            <w:pPr>
              <w:spacing w:before="0" w:after="0" w:line="269" w:lineRule="auto"/>
            </w:pPr>
            <w:r>
              <w:rPr>
                <w:sz w:val="16"/>
              </w:rPr>
              <w:t>附带条件</w:t>
            </w:r>
          </w:p>
        </w:tc>
        <w:tc>
          <w:tcPr>
            <w:tcW w:w="2835" w:type="dxa"/>
            <w:tcMar>
              <w:top w:w="90" w:type="dxa"/>
              <w:left w:w="110" w:type="dxa"/>
              <w:bottom w:w="90" w:type="dxa"/>
              <w:right w:w="110" w:type="dxa"/>
            </w:tcMar>
            <w:vAlign w:val="center"/>
          </w:tcPr>
          <w:p w14:paraId="328128E8">
            <w:pPr>
              <w:spacing w:before="0" w:after="0" w:line="269" w:lineRule="auto"/>
            </w:pPr>
            <w:r>
              <w:t>经人工复核的附带条件编码；86家附带条件接纳</w:t>
            </w:r>
          </w:p>
        </w:tc>
        <w:tc>
          <w:tcPr>
            <w:tcW w:w="3969" w:type="dxa"/>
            <w:tcMar>
              <w:top w:w="90" w:type="dxa"/>
              <w:left w:w="110" w:type="dxa"/>
              <w:bottom w:w="90" w:type="dxa"/>
              <w:right w:w="110" w:type="dxa"/>
            </w:tcMar>
            <w:vAlign w:val="center"/>
          </w:tcPr>
          <w:p w14:paraId="200B2CF1">
            <w:pPr>
              <w:spacing w:before="0" w:after="0" w:line="269" w:lineRule="auto"/>
            </w:pPr>
            <w:r>
              <w:t>原始工作簿中的多个条件字段同时包含政策支持、证件要求和额外限制。经人工复核后保留86家附带条件接纳编码，单独列示，不计入指数。</w:t>
            </w:r>
          </w:p>
        </w:tc>
      </w:tr>
      <w:tr w14:paraId="3C1BA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shd w:val="clear" w:color="auto" w:fill="F3F7FA"/>
            <w:tcMar>
              <w:top w:w="90" w:type="dxa"/>
              <w:left w:w="110" w:type="dxa"/>
              <w:bottom w:w="90" w:type="dxa"/>
              <w:right w:w="110" w:type="dxa"/>
            </w:tcMar>
            <w:vAlign w:val="center"/>
          </w:tcPr>
          <w:p w14:paraId="78E30243">
            <w:pPr>
              <w:spacing w:before="0" w:after="0" w:line="269" w:lineRule="auto"/>
            </w:pPr>
            <w:r>
              <w:rPr>
                <w:sz w:val="16"/>
              </w:rPr>
              <w:t>担忧与理由</w:t>
            </w:r>
          </w:p>
        </w:tc>
        <w:tc>
          <w:tcPr>
            <w:tcW w:w="2835" w:type="dxa"/>
            <w:shd w:val="clear" w:color="auto" w:fill="F3F7FA"/>
            <w:tcMar>
              <w:top w:w="90" w:type="dxa"/>
              <w:left w:w="110" w:type="dxa"/>
              <w:bottom w:w="90" w:type="dxa"/>
              <w:right w:w="110" w:type="dxa"/>
            </w:tcMar>
            <w:vAlign w:val="center"/>
          </w:tcPr>
          <w:p w14:paraId="37DAB4A8">
            <w:pPr>
              <w:spacing w:before="0" w:after="0" w:line="269" w:lineRule="auto"/>
            </w:pPr>
            <w:r>
              <w:rPr>
                <w:sz w:val="16"/>
              </w:rPr>
              <w:t>891条可编码回应；1344次理由标签出现</w:t>
            </w:r>
          </w:p>
        </w:tc>
        <w:tc>
          <w:tcPr>
            <w:tcW w:w="3969" w:type="dxa"/>
            <w:shd w:val="clear" w:color="auto" w:fill="F3F7FA"/>
            <w:tcMar>
              <w:top w:w="90" w:type="dxa"/>
              <w:left w:w="110" w:type="dxa"/>
              <w:bottom w:w="90" w:type="dxa"/>
              <w:right w:w="110" w:type="dxa"/>
            </w:tcMar>
            <w:vAlign w:val="center"/>
          </w:tcPr>
          <w:p w14:paraId="5C5175A9">
            <w:pPr>
              <w:spacing w:before="0" w:after="0" w:line="269" w:lineRule="auto"/>
            </w:pPr>
            <w:r>
              <w:rPr>
                <w:sz w:val="16"/>
              </w:rPr>
              <w:t>属于转写与多标签编码层级，用于原因结构；不与782次独立通话或558家门店相加。</w:t>
            </w:r>
          </w:p>
        </w:tc>
      </w:tr>
    </w:tbl>
    <w:p w14:paraId="0CA4A939">
      <w:pPr>
        <w:pStyle w:val="174"/>
      </w:pPr>
      <w:r>
        <w:t>可核验材料包括《20260523 原始数据.xlsx》、门店级汇总和转写编码结果。原始通话材料和匿名化门店级数据尚未公开；公开数据时应同时提供字段定义、计算过程和匿名化规则。</w:t>
      </w:r>
    </w:p>
    <w:p w14:paraId="23FCA728">
      <w:pPr>
        <w:pStyle w:val="5"/>
      </w:pPr>
      <w:r>
        <w:t>（二）排名计算与样本敏感性</w:t>
      </w:r>
    </w:p>
    <w:p w14:paraId="2EA56CE5">
      <w:r>
        <w:t>样本接纳与沟通指数按6∶2∶2汇总最终接纳率、直接同意率和一次通话接纳率。排序使用未四舍五入得分；同分时依次比较最终接纳率、直接同意率和一次通话接纳率。改变权重或同分规则可能改变部分相邻名次，分项指标保留了三类结果之间的差异。</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01"/>
        <w:gridCol w:w="2268"/>
        <w:gridCol w:w="3288"/>
      </w:tblGrid>
      <w:tr w14:paraId="0C336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701" w:type="dxa"/>
            <w:shd w:val="clear" w:color="auto" w:fill="DDEBF7"/>
            <w:tcMar>
              <w:top w:w="90" w:type="dxa"/>
              <w:left w:w="110" w:type="dxa"/>
              <w:bottom w:w="90" w:type="dxa"/>
              <w:right w:w="110" w:type="dxa"/>
            </w:tcMar>
            <w:vAlign w:val="center"/>
          </w:tcPr>
          <w:p w14:paraId="1B4F4BFC">
            <w:pPr>
              <w:keepNext/>
              <w:spacing w:before="0" w:after="0" w:line="252" w:lineRule="auto"/>
            </w:pPr>
            <w:r>
              <w:rPr>
                <w:b/>
                <w:color w:val="17365D"/>
                <w:sz w:val="17"/>
              </w:rPr>
              <w:t>比较单位</w:t>
            </w:r>
          </w:p>
        </w:tc>
        <w:tc>
          <w:tcPr>
            <w:tcW w:w="2268" w:type="dxa"/>
            <w:shd w:val="clear" w:color="auto" w:fill="DDEBF7"/>
            <w:tcMar>
              <w:top w:w="90" w:type="dxa"/>
              <w:left w:w="110" w:type="dxa"/>
              <w:bottom w:w="90" w:type="dxa"/>
              <w:right w:w="110" w:type="dxa"/>
            </w:tcMar>
            <w:vAlign w:val="center"/>
          </w:tcPr>
          <w:p w14:paraId="4C22BE44">
            <w:pPr>
              <w:keepNext/>
              <w:spacing w:before="0" w:after="0" w:line="252" w:lineRule="auto"/>
            </w:pPr>
            <w:r>
              <w:rPr>
                <w:b/>
                <w:color w:val="17365D"/>
                <w:sz w:val="17"/>
              </w:rPr>
              <w:t>本次样本量</w:t>
            </w:r>
          </w:p>
        </w:tc>
        <w:tc>
          <w:tcPr>
            <w:tcW w:w="3288" w:type="dxa"/>
            <w:shd w:val="clear" w:color="auto" w:fill="DDEBF7"/>
            <w:tcMar>
              <w:top w:w="90" w:type="dxa"/>
              <w:left w:w="110" w:type="dxa"/>
              <w:bottom w:w="90" w:type="dxa"/>
              <w:right w:w="110" w:type="dxa"/>
            </w:tcMar>
            <w:vAlign w:val="center"/>
          </w:tcPr>
          <w:p w14:paraId="6BEA07A0">
            <w:pPr>
              <w:keepNext/>
              <w:spacing w:before="0" w:after="0" w:line="252" w:lineRule="auto"/>
            </w:pPr>
            <w:r>
              <w:rPr>
                <w:b/>
                <w:color w:val="17365D"/>
                <w:sz w:val="17"/>
              </w:rPr>
              <w:t>单家门店对比例的影响</w:t>
            </w:r>
          </w:p>
        </w:tc>
      </w:tr>
      <w:tr w14:paraId="0E709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tcMar>
              <w:top w:w="90" w:type="dxa"/>
              <w:left w:w="110" w:type="dxa"/>
              <w:bottom w:w="90" w:type="dxa"/>
              <w:right w:w="110" w:type="dxa"/>
            </w:tcMar>
            <w:vAlign w:val="center"/>
          </w:tcPr>
          <w:p w14:paraId="2ACBF019">
            <w:pPr>
              <w:spacing w:before="0" w:after="0" w:line="252" w:lineRule="auto"/>
            </w:pPr>
            <w:r>
              <w:rPr>
                <w:sz w:val="17"/>
              </w:rPr>
              <w:t>城市</w:t>
            </w:r>
          </w:p>
        </w:tc>
        <w:tc>
          <w:tcPr>
            <w:tcW w:w="2268" w:type="dxa"/>
            <w:tcMar>
              <w:top w:w="90" w:type="dxa"/>
              <w:left w:w="110" w:type="dxa"/>
              <w:bottom w:w="90" w:type="dxa"/>
              <w:right w:w="110" w:type="dxa"/>
            </w:tcMar>
            <w:vAlign w:val="center"/>
          </w:tcPr>
          <w:p w14:paraId="6CC6BE0E">
            <w:pPr>
              <w:spacing w:before="0" w:after="0" w:line="252" w:lineRule="auto"/>
            </w:pPr>
            <w:r>
              <w:rPr>
                <w:sz w:val="17"/>
              </w:rPr>
              <w:t>15—20家</w:t>
            </w:r>
          </w:p>
        </w:tc>
        <w:tc>
          <w:tcPr>
            <w:tcW w:w="3288" w:type="dxa"/>
            <w:tcMar>
              <w:top w:w="90" w:type="dxa"/>
              <w:left w:w="110" w:type="dxa"/>
              <w:bottom w:w="90" w:type="dxa"/>
              <w:right w:w="110" w:type="dxa"/>
            </w:tcMar>
            <w:vAlign w:val="center"/>
          </w:tcPr>
          <w:p w14:paraId="1F760A29">
            <w:pPr>
              <w:spacing w:before="0" w:after="0" w:line="252" w:lineRule="auto"/>
            </w:pPr>
            <w:r>
              <w:rPr>
                <w:sz w:val="17"/>
              </w:rPr>
              <w:t>约5.0—6.7个百分点</w:t>
            </w:r>
          </w:p>
        </w:tc>
      </w:tr>
      <w:tr w14:paraId="10F86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701" w:type="dxa"/>
            <w:shd w:val="clear" w:color="auto" w:fill="F3F7FA"/>
            <w:tcMar>
              <w:top w:w="90" w:type="dxa"/>
              <w:left w:w="110" w:type="dxa"/>
              <w:bottom w:w="90" w:type="dxa"/>
              <w:right w:w="110" w:type="dxa"/>
            </w:tcMar>
            <w:vAlign w:val="center"/>
          </w:tcPr>
          <w:p w14:paraId="0F54FAAF">
            <w:pPr>
              <w:spacing w:before="0" w:after="0" w:line="252" w:lineRule="auto"/>
            </w:pPr>
            <w:r>
              <w:rPr>
                <w:sz w:val="17"/>
              </w:rPr>
              <w:t>品牌</w:t>
            </w:r>
          </w:p>
        </w:tc>
        <w:tc>
          <w:tcPr>
            <w:tcW w:w="2268" w:type="dxa"/>
            <w:shd w:val="clear" w:color="auto" w:fill="F3F7FA"/>
            <w:tcMar>
              <w:top w:w="90" w:type="dxa"/>
              <w:left w:w="110" w:type="dxa"/>
              <w:bottom w:w="90" w:type="dxa"/>
              <w:right w:w="110" w:type="dxa"/>
            </w:tcMar>
            <w:vAlign w:val="center"/>
          </w:tcPr>
          <w:p w14:paraId="4A21B8C1">
            <w:pPr>
              <w:spacing w:before="0" w:after="0" w:line="252" w:lineRule="auto"/>
            </w:pPr>
            <w:r>
              <w:rPr>
                <w:sz w:val="17"/>
              </w:rPr>
              <w:t>47—60家</w:t>
            </w:r>
          </w:p>
        </w:tc>
        <w:tc>
          <w:tcPr>
            <w:tcW w:w="3288" w:type="dxa"/>
            <w:shd w:val="clear" w:color="auto" w:fill="F3F7FA"/>
            <w:tcMar>
              <w:top w:w="90" w:type="dxa"/>
              <w:left w:w="110" w:type="dxa"/>
              <w:bottom w:w="90" w:type="dxa"/>
              <w:right w:w="110" w:type="dxa"/>
            </w:tcMar>
            <w:vAlign w:val="center"/>
          </w:tcPr>
          <w:p w14:paraId="0AB9B243">
            <w:pPr>
              <w:spacing w:before="0" w:after="0" w:line="252" w:lineRule="auto"/>
            </w:pPr>
            <w:r>
              <w:rPr>
                <w:sz w:val="17"/>
              </w:rPr>
              <w:t>约1.7—2.1个百分点</w:t>
            </w:r>
          </w:p>
        </w:tc>
      </w:tr>
    </w:tbl>
    <w:p w14:paraId="24C4CDD3">
      <w:pPr>
        <w:pStyle w:val="174"/>
      </w:pPr>
      <w:r>
        <w:t>门店样本按照城市条件和平台欢迎度筛选，不属于概率随机抽样。表中百分点反映单家门店结果变化对相应比例的影响，不用于统计显著性判断。</w:t>
      </w:r>
    </w:p>
    <w:p w14:paraId="2D18D851">
      <w:pPr>
        <w:pStyle w:val="5"/>
      </w:pPr>
      <w:r>
        <w:t>（三）酒店集团书面回应</w:t>
      </w:r>
    </w:p>
    <w:p w14:paraId="2D2F6BE6">
      <w:r>
        <w:t>截至2026年9月4日，未取得酒店集团可核验的书面回应。后续收到的正式回应应标注回应主体、日期和出处；调研期间形成的原始通话记录保持不变。</w:t>
      </w:r>
    </w:p>
    <w:p w14:paraId="20C0219B">
      <w:pPr>
        <w:pStyle w:val="4"/>
      </w:pPr>
      <w:bookmarkStart w:id="65" w:name="_Toc239432627"/>
      <w:bookmarkStart w:id="66" w:name="_Toc240635852"/>
      <w:r>
        <w:t>四 城市样本明细</w:t>
      </w:r>
      <w:bookmarkEnd w:id="65"/>
      <w:bookmarkEnd w:id="66"/>
    </w:p>
    <w:p w14:paraId="05D5EC36">
      <w:r>
        <w:t>30个城市在调研期内各有15—20家样本。比例会受个别门店影响，完整数值列于附表1。</w:t>
      </w:r>
    </w:p>
    <w:p w14:paraId="7AD3903B">
      <w:pPr>
        <w:pStyle w:val="173"/>
      </w:pPr>
      <w:r>
        <w:t>附表1　城市样本结果（按直接同意率从高到低）</w:t>
      </w:r>
    </w:p>
    <w:tbl>
      <w:tblPr>
        <w:tblStyle w:val="38"/>
        <w:tblW w:w="0" w:type="auto"/>
        <w:jc w:val="center"/>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Layout w:type="fixed"/>
        <w:tblCellMar>
          <w:top w:w="0" w:type="dxa"/>
          <w:left w:w="108" w:type="dxa"/>
          <w:bottom w:w="0" w:type="dxa"/>
          <w:right w:w="108" w:type="dxa"/>
        </w:tblCellMar>
      </w:tblPr>
      <w:tblGrid>
        <w:gridCol w:w="1134"/>
        <w:gridCol w:w="567"/>
        <w:gridCol w:w="1531"/>
        <w:gridCol w:w="1531"/>
        <w:gridCol w:w="1757"/>
        <w:gridCol w:w="1871"/>
      </w:tblGrid>
      <w:tr w14:paraId="5D7312FE">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tblHeader/>
          <w:jc w:val="center"/>
        </w:trPr>
        <w:tc>
          <w:tcPr>
            <w:tcW w:w="1134" w:type="dxa"/>
            <w:shd w:val="clear" w:color="auto" w:fill="DDE6F0"/>
            <w:vAlign w:val="center"/>
          </w:tcPr>
          <w:p w14:paraId="2151259D">
            <w:pPr>
              <w:keepNext/>
              <w:spacing w:before="0" w:after="0" w:line="269" w:lineRule="auto"/>
              <w:jc w:val="center"/>
            </w:pPr>
            <w:r>
              <w:rPr>
                <w:rFonts w:ascii="微软雅黑" w:hAnsi="微软雅黑" w:eastAsia="微软雅黑"/>
                <w:b/>
                <w:color w:val="263238"/>
                <w:sz w:val="14"/>
              </w:rPr>
              <w:t>城市</w:t>
            </w:r>
          </w:p>
        </w:tc>
        <w:tc>
          <w:tcPr>
            <w:tcW w:w="567" w:type="dxa"/>
            <w:shd w:val="clear" w:color="auto" w:fill="DDE6F0"/>
            <w:vAlign w:val="center"/>
          </w:tcPr>
          <w:p w14:paraId="411CCD61">
            <w:pPr>
              <w:keepNext/>
              <w:spacing w:before="0" w:after="0" w:line="269" w:lineRule="auto"/>
              <w:ind w:firstLine="0"/>
              <w:jc w:val="center"/>
            </w:pPr>
            <w:r>
              <w:rPr>
                <w:rFonts w:ascii="微软雅黑" w:hAnsi="微软雅黑" w:eastAsia="微软雅黑"/>
                <w:b/>
                <w:color w:val="263238"/>
                <w:sz w:val="14"/>
              </w:rPr>
              <w:t>n</w:t>
            </w:r>
          </w:p>
        </w:tc>
        <w:tc>
          <w:tcPr>
            <w:tcW w:w="1531" w:type="dxa"/>
            <w:shd w:val="clear" w:color="auto" w:fill="DDE6F0"/>
            <w:vAlign w:val="center"/>
          </w:tcPr>
          <w:p w14:paraId="08FFD7CF">
            <w:pPr>
              <w:keepNext/>
              <w:spacing w:before="0" w:after="0" w:line="269" w:lineRule="auto"/>
              <w:jc w:val="center"/>
            </w:pPr>
            <w:r>
              <w:rPr>
                <w:rFonts w:ascii="微软雅黑" w:hAnsi="微软雅黑" w:eastAsia="微软雅黑"/>
                <w:b/>
                <w:color w:val="263238"/>
                <w:sz w:val="14"/>
              </w:rPr>
              <w:t>直接同意</w:t>
            </w:r>
          </w:p>
        </w:tc>
        <w:tc>
          <w:tcPr>
            <w:tcW w:w="1531" w:type="dxa"/>
            <w:shd w:val="clear" w:color="auto" w:fill="DDE6F0"/>
            <w:vAlign w:val="center"/>
          </w:tcPr>
          <w:p w14:paraId="5A06E44F">
            <w:pPr>
              <w:keepNext/>
              <w:spacing w:before="0" w:after="0" w:line="269" w:lineRule="auto"/>
              <w:jc w:val="center"/>
            </w:pPr>
            <w:r>
              <w:rPr>
                <w:rFonts w:ascii="微软雅黑" w:hAnsi="微软雅黑" w:eastAsia="微软雅黑"/>
                <w:b/>
                <w:color w:val="263238"/>
                <w:sz w:val="14"/>
              </w:rPr>
              <w:t>最终拒绝</w:t>
            </w:r>
          </w:p>
        </w:tc>
        <w:tc>
          <w:tcPr>
            <w:tcW w:w="1757" w:type="dxa"/>
            <w:shd w:val="clear" w:color="auto" w:fill="DDE6F0"/>
            <w:vAlign w:val="center"/>
          </w:tcPr>
          <w:p w14:paraId="557188CF">
            <w:pPr>
              <w:keepNext/>
              <w:spacing w:before="0" w:after="0" w:line="269" w:lineRule="auto"/>
              <w:jc w:val="center"/>
            </w:pPr>
            <w:r>
              <w:rPr>
                <w:rFonts w:ascii="微软雅黑" w:hAnsi="微软雅黑" w:eastAsia="微软雅黑"/>
                <w:b/>
                <w:color w:val="263238"/>
                <w:sz w:val="14"/>
              </w:rPr>
              <w:t>2次及以上</w:t>
            </w:r>
          </w:p>
        </w:tc>
        <w:tc>
          <w:tcPr>
            <w:tcW w:w="1871" w:type="dxa"/>
            <w:shd w:val="clear" w:color="auto" w:fill="DDE6F0"/>
            <w:vAlign w:val="center"/>
          </w:tcPr>
          <w:p w14:paraId="7F9A4C6E">
            <w:pPr>
              <w:keepNext/>
              <w:spacing w:before="0" w:after="0" w:line="269" w:lineRule="auto"/>
              <w:jc w:val="center"/>
            </w:pPr>
            <w:r>
              <w:rPr>
                <w:rFonts w:ascii="微软雅黑" w:hAnsi="微软雅黑" w:eastAsia="微软雅黑"/>
                <w:b/>
                <w:color w:val="263238"/>
                <w:sz w:val="14"/>
              </w:rPr>
              <w:t>附带条件接纳</w:t>
            </w:r>
          </w:p>
        </w:tc>
      </w:tr>
      <w:tr w14:paraId="12C60EF8">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22AC7E01">
            <w:pPr>
              <w:spacing w:before="0" w:after="0" w:line="269" w:lineRule="auto"/>
              <w:jc w:val="center"/>
            </w:pPr>
            <w:r>
              <w:rPr>
                <w:rFonts w:ascii="微软雅黑" w:hAnsi="微软雅黑" w:eastAsia="微软雅黑"/>
                <w:color w:val="263238"/>
                <w:sz w:val="14"/>
              </w:rPr>
              <w:t>长治</w:t>
            </w:r>
          </w:p>
        </w:tc>
        <w:tc>
          <w:tcPr>
            <w:tcW w:w="567" w:type="dxa"/>
            <w:vAlign w:val="center"/>
          </w:tcPr>
          <w:p w14:paraId="4E6ABD23">
            <w:pPr>
              <w:spacing w:before="0" w:after="0" w:line="269" w:lineRule="auto"/>
              <w:ind w:firstLine="0"/>
              <w:jc w:val="center"/>
            </w:pPr>
            <w:r>
              <w:rPr>
                <w:rFonts w:ascii="微软雅黑" w:hAnsi="微软雅黑" w:eastAsia="微软雅黑"/>
                <w:color w:val="263238"/>
                <w:sz w:val="14"/>
              </w:rPr>
              <w:t>15</w:t>
            </w:r>
          </w:p>
        </w:tc>
        <w:tc>
          <w:tcPr>
            <w:tcW w:w="1531" w:type="dxa"/>
            <w:vAlign w:val="center"/>
          </w:tcPr>
          <w:p w14:paraId="6FE6BA35">
            <w:pPr>
              <w:spacing w:before="0" w:after="0" w:line="269" w:lineRule="auto"/>
              <w:jc w:val="center"/>
            </w:pPr>
            <w:r>
              <w:rPr>
                <w:rFonts w:ascii="微软雅黑" w:hAnsi="微软雅黑" w:eastAsia="微软雅黑"/>
                <w:color w:val="263238"/>
                <w:sz w:val="14"/>
              </w:rPr>
              <w:t>12（80.0%）</w:t>
            </w:r>
          </w:p>
        </w:tc>
        <w:tc>
          <w:tcPr>
            <w:tcW w:w="1531" w:type="dxa"/>
            <w:vAlign w:val="center"/>
          </w:tcPr>
          <w:p w14:paraId="018282F0">
            <w:pPr>
              <w:spacing w:before="0" w:after="0" w:line="269" w:lineRule="auto"/>
              <w:jc w:val="center"/>
            </w:pPr>
            <w:r>
              <w:rPr>
                <w:rFonts w:ascii="微软雅黑" w:hAnsi="微软雅黑" w:eastAsia="微软雅黑"/>
                <w:color w:val="263238"/>
                <w:sz w:val="14"/>
              </w:rPr>
              <w:t>2（13.3%）</w:t>
            </w:r>
          </w:p>
        </w:tc>
        <w:tc>
          <w:tcPr>
            <w:tcW w:w="1757" w:type="dxa"/>
            <w:vAlign w:val="center"/>
          </w:tcPr>
          <w:p w14:paraId="06E5D216">
            <w:pPr>
              <w:spacing w:before="0" w:after="0" w:line="269" w:lineRule="auto"/>
              <w:jc w:val="center"/>
            </w:pPr>
            <w:r>
              <w:rPr>
                <w:rFonts w:ascii="微软雅黑" w:hAnsi="微软雅黑" w:eastAsia="微软雅黑"/>
                <w:color w:val="263238"/>
                <w:sz w:val="14"/>
              </w:rPr>
              <w:t>1（6.7%）</w:t>
            </w:r>
          </w:p>
        </w:tc>
        <w:tc>
          <w:tcPr>
            <w:tcW w:w="1871" w:type="dxa"/>
            <w:vAlign w:val="center"/>
          </w:tcPr>
          <w:p w14:paraId="39B93F81">
            <w:pPr>
              <w:spacing w:before="0" w:after="0" w:line="269" w:lineRule="auto"/>
              <w:jc w:val="center"/>
            </w:pPr>
            <w:r>
              <w:rPr>
                <w:rFonts w:ascii="微软雅黑" w:hAnsi="微软雅黑" w:eastAsia="微软雅黑"/>
                <w:color w:val="263238"/>
                <w:sz w:val="14"/>
              </w:rPr>
              <w:t>3（20.0%）</w:t>
            </w:r>
          </w:p>
        </w:tc>
      </w:tr>
      <w:tr w14:paraId="69BACF72">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53390CD2">
            <w:pPr>
              <w:spacing w:before="0" w:after="0" w:line="269" w:lineRule="auto"/>
              <w:jc w:val="center"/>
            </w:pPr>
            <w:r>
              <w:rPr>
                <w:rFonts w:ascii="微软雅黑" w:hAnsi="微软雅黑" w:eastAsia="微软雅黑"/>
                <w:color w:val="263238"/>
                <w:sz w:val="14"/>
              </w:rPr>
              <w:t>桂林</w:t>
            </w:r>
          </w:p>
        </w:tc>
        <w:tc>
          <w:tcPr>
            <w:tcW w:w="567" w:type="dxa"/>
            <w:vAlign w:val="center"/>
          </w:tcPr>
          <w:p w14:paraId="4EADAE21">
            <w:pPr>
              <w:spacing w:before="0" w:after="0" w:line="269" w:lineRule="auto"/>
              <w:ind w:firstLine="0"/>
              <w:jc w:val="center"/>
            </w:pPr>
            <w:r>
              <w:rPr>
                <w:rFonts w:ascii="微软雅黑" w:hAnsi="微软雅黑" w:eastAsia="微软雅黑"/>
                <w:color w:val="263238"/>
                <w:sz w:val="14"/>
              </w:rPr>
              <w:t>17</w:t>
            </w:r>
          </w:p>
        </w:tc>
        <w:tc>
          <w:tcPr>
            <w:tcW w:w="1531" w:type="dxa"/>
            <w:vAlign w:val="center"/>
          </w:tcPr>
          <w:p w14:paraId="77FDF9A8">
            <w:pPr>
              <w:spacing w:before="0" w:after="0" w:line="269" w:lineRule="auto"/>
              <w:jc w:val="center"/>
            </w:pPr>
            <w:r>
              <w:rPr>
                <w:rFonts w:ascii="微软雅黑" w:hAnsi="微软雅黑" w:eastAsia="微软雅黑"/>
                <w:color w:val="263238"/>
                <w:sz w:val="14"/>
              </w:rPr>
              <w:t>13（76.5%）</w:t>
            </w:r>
          </w:p>
        </w:tc>
        <w:tc>
          <w:tcPr>
            <w:tcW w:w="1531" w:type="dxa"/>
            <w:vAlign w:val="center"/>
          </w:tcPr>
          <w:p w14:paraId="655FA1C8">
            <w:pPr>
              <w:spacing w:before="0" w:after="0" w:line="269" w:lineRule="auto"/>
              <w:jc w:val="center"/>
            </w:pPr>
            <w:r>
              <w:rPr>
                <w:rFonts w:ascii="微软雅黑" w:hAnsi="微软雅黑" w:eastAsia="微软雅黑"/>
                <w:color w:val="263238"/>
                <w:sz w:val="14"/>
              </w:rPr>
              <w:t>3（17.6%）</w:t>
            </w:r>
          </w:p>
        </w:tc>
        <w:tc>
          <w:tcPr>
            <w:tcW w:w="1757" w:type="dxa"/>
            <w:vAlign w:val="center"/>
          </w:tcPr>
          <w:p w14:paraId="20CE6A52">
            <w:pPr>
              <w:spacing w:before="0" w:after="0" w:line="269" w:lineRule="auto"/>
              <w:jc w:val="center"/>
            </w:pPr>
            <w:r>
              <w:rPr>
                <w:rFonts w:ascii="微软雅黑" w:hAnsi="微软雅黑" w:eastAsia="微软雅黑"/>
                <w:color w:val="263238"/>
                <w:sz w:val="14"/>
              </w:rPr>
              <w:t>2（11.8%）</w:t>
            </w:r>
          </w:p>
        </w:tc>
        <w:tc>
          <w:tcPr>
            <w:tcW w:w="1871" w:type="dxa"/>
            <w:vAlign w:val="center"/>
          </w:tcPr>
          <w:p w14:paraId="29D19E83">
            <w:pPr>
              <w:spacing w:before="0" w:after="0" w:line="269" w:lineRule="auto"/>
              <w:jc w:val="center"/>
            </w:pPr>
            <w:r>
              <w:rPr>
                <w:rFonts w:ascii="微软雅黑" w:hAnsi="微软雅黑" w:eastAsia="微软雅黑"/>
                <w:color w:val="263238"/>
                <w:sz w:val="14"/>
              </w:rPr>
              <w:t>3（17.6%）</w:t>
            </w:r>
          </w:p>
        </w:tc>
      </w:tr>
      <w:tr w14:paraId="28237FE3">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EB529AC">
            <w:pPr>
              <w:spacing w:before="0" w:after="0" w:line="269" w:lineRule="auto"/>
              <w:jc w:val="center"/>
            </w:pPr>
            <w:r>
              <w:rPr>
                <w:rFonts w:ascii="微软雅黑" w:hAnsi="微软雅黑" w:eastAsia="微软雅黑"/>
                <w:color w:val="263238"/>
                <w:sz w:val="14"/>
              </w:rPr>
              <w:t>成都</w:t>
            </w:r>
          </w:p>
        </w:tc>
        <w:tc>
          <w:tcPr>
            <w:tcW w:w="567" w:type="dxa"/>
            <w:vAlign w:val="center"/>
          </w:tcPr>
          <w:p w14:paraId="470C7C7B">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45106216">
            <w:pPr>
              <w:spacing w:before="0" w:after="0" w:line="269" w:lineRule="auto"/>
              <w:jc w:val="center"/>
            </w:pPr>
            <w:r>
              <w:rPr>
                <w:rFonts w:ascii="微软雅黑" w:hAnsi="微软雅黑" w:eastAsia="微软雅黑"/>
                <w:color w:val="263238"/>
                <w:sz w:val="14"/>
              </w:rPr>
              <w:t>15（75.0%）</w:t>
            </w:r>
          </w:p>
        </w:tc>
        <w:tc>
          <w:tcPr>
            <w:tcW w:w="1531" w:type="dxa"/>
            <w:vAlign w:val="center"/>
          </w:tcPr>
          <w:p w14:paraId="208FB2F2">
            <w:pPr>
              <w:spacing w:before="0" w:after="0" w:line="269" w:lineRule="auto"/>
              <w:jc w:val="center"/>
            </w:pPr>
            <w:r>
              <w:rPr>
                <w:rFonts w:ascii="微软雅黑" w:hAnsi="微软雅黑" w:eastAsia="微软雅黑"/>
                <w:color w:val="263238"/>
                <w:sz w:val="14"/>
              </w:rPr>
              <w:t>1（5.0%）</w:t>
            </w:r>
          </w:p>
        </w:tc>
        <w:tc>
          <w:tcPr>
            <w:tcW w:w="1757" w:type="dxa"/>
            <w:vAlign w:val="center"/>
          </w:tcPr>
          <w:p w14:paraId="43D0B64B">
            <w:pPr>
              <w:spacing w:before="0" w:after="0" w:line="269" w:lineRule="auto"/>
              <w:jc w:val="center"/>
            </w:pPr>
            <w:r>
              <w:rPr>
                <w:rFonts w:ascii="微软雅黑" w:hAnsi="微软雅黑" w:eastAsia="微软雅黑"/>
                <w:color w:val="263238"/>
                <w:sz w:val="14"/>
              </w:rPr>
              <w:t>5（25.0%）</w:t>
            </w:r>
          </w:p>
        </w:tc>
        <w:tc>
          <w:tcPr>
            <w:tcW w:w="1871" w:type="dxa"/>
            <w:vAlign w:val="center"/>
          </w:tcPr>
          <w:p w14:paraId="38EE46EB">
            <w:pPr>
              <w:spacing w:before="0" w:after="0" w:line="269" w:lineRule="auto"/>
              <w:jc w:val="center"/>
            </w:pPr>
            <w:r>
              <w:rPr>
                <w:rFonts w:ascii="微软雅黑" w:hAnsi="微软雅黑" w:eastAsia="微软雅黑"/>
                <w:color w:val="263238"/>
                <w:sz w:val="14"/>
              </w:rPr>
              <w:t>5（25.0%）</w:t>
            </w:r>
          </w:p>
        </w:tc>
      </w:tr>
      <w:tr w14:paraId="0AECE9C1">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74EDEB1F">
            <w:pPr>
              <w:spacing w:before="0" w:after="0" w:line="269" w:lineRule="auto"/>
              <w:jc w:val="center"/>
            </w:pPr>
            <w:r>
              <w:rPr>
                <w:rFonts w:ascii="微软雅黑" w:hAnsi="微软雅黑" w:eastAsia="微软雅黑"/>
                <w:color w:val="263238"/>
                <w:sz w:val="14"/>
              </w:rPr>
              <w:t>珠海</w:t>
            </w:r>
          </w:p>
        </w:tc>
        <w:tc>
          <w:tcPr>
            <w:tcW w:w="567" w:type="dxa"/>
            <w:vAlign w:val="center"/>
          </w:tcPr>
          <w:p w14:paraId="66620549">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5971B9A1">
            <w:pPr>
              <w:spacing w:before="0" w:after="0" w:line="269" w:lineRule="auto"/>
              <w:jc w:val="center"/>
            </w:pPr>
            <w:r>
              <w:rPr>
                <w:rFonts w:ascii="微软雅黑" w:hAnsi="微软雅黑" w:eastAsia="微软雅黑"/>
                <w:color w:val="263238"/>
                <w:sz w:val="14"/>
              </w:rPr>
              <w:t>14（73.7%）</w:t>
            </w:r>
          </w:p>
        </w:tc>
        <w:tc>
          <w:tcPr>
            <w:tcW w:w="1531" w:type="dxa"/>
            <w:vAlign w:val="center"/>
          </w:tcPr>
          <w:p w14:paraId="7AEB35D8">
            <w:pPr>
              <w:spacing w:before="0" w:after="0" w:line="269" w:lineRule="auto"/>
              <w:jc w:val="center"/>
            </w:pPr>
            <w:r>
              <w:rPr>
                <w:rFonts w:ascii="微软雅黑" w:hAnsi="微软雅黑" w:eastAsia="微软雅黑"/>
                <w:color w:val="263238"/>
                <w:sz w:val="14"/>
              </w:rPr>
              <w:t>2（10.5%）</w:t>
            </w:r>
          </w:p>
        </w:tc>
        <w:tc>
          <w:tcPr>
            <w:tcW w:w="1757" w:type="dxa"/>
            <w:vAlign w:val="center"/>
          </w:tcPr>
          <w:p w14:paraId="2C7D8FF0">
            <w:pPr>
              <w:spacing w:before="0" w:after="0" w:line="269" w:lineRule="auto"/>
              <w:jc w:val="center"/>
            </w:pPr>
            <w:r>
              <w:rPr>
                <w:rFonts w:ascii="微软雅黑" w:hAnsi="微软雅黑" w:eastAsia="微软雅黑"/>
                <w:color w:val="263238"/>
                <w:sz w:val="14"/>
              </w:rPr>
              <w:t>5（26.3%）</w:t>
            </w:r>
          </w:p>
        </w:tc>
        <w:tc>
          <w:tcPr>
            <w:tcW w:w="1871" w:type="dxa"/>
            <w:vAlign w:val="center"/>
          </w:tcPr>
          <w:p w14:paraId="6807B663">
            <w:pPr>
              <w:spacing w:before="0" w:after="0" w:line="269" w:lineRule="auto"/>
              <w:jc w:val="center"/>
            </w:pPr>
            <w:r>
              <w:rPr>
                <w:rFonts w:ascii="微软雅黑" w:hAnsi="微软雅黑" w:eastAsia="微软雅黑"/>
                <w:color w:val="263238"/>
                <w:sz w:val="14"/>
              </w:rPr>
              <w:t>0（0.0%）</w:t>
            </w:r>
          </w:p>
        </w:tc>
      </w:tr>
      <w:tr w14:paraId="1902E5D4">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DD05945">
            <w:pPr>
              <w:spacing w:before="0" w:after="0" w:line="269" w:lineRule="auto"/>
              <w:jc w:val="center"/>
            </w:pPr>
            <w:r>
              <w:rPr>
                <w:rFonts w:ascii="微软雅黑" w:hAnsi="微软雅黑" w:eastAsia="微软雅黑"/>
                <w:color w:val="263238"/>
                <w:sz w:val="14"/>
              </w:rPr>
              <w:t>深圳</w:t>
            </w:r>
          </w:p>
        </w:tc>
        <w:tc>
          <w:tcPr>
            <w:tcW w:w="567" w:type="dxa"/>
            <w:vAlign w:val="center"/>
          </w:tcPr>
          <w:p w14:paraId="7CFD82D4">
            <w:pPr>
              <w:spacing w:before="0" w:after="0" w:line="269" w:lineRule="auto"/>
              <w:ind w:firstLine="0"/>
              <w:jc w:val="center"/>
            </w:pPr>
            <w:r>
              <w:rPr>
                <w:rFonts w:ascii="微软雅黑" w:hAnsi="微软雅黑" w:eastAsia="微软雅黑"/>
                <w:color w:val="263238"/>
                <w:sz w:val="14"/>
              </w:rPr>
              <w:t>17</w:t>
            </w:r>
          </w:p>
        </w:tc>
        <w:tc>
          <w:tcPr>
            <w:tcW w:w="1531" w:type="dxa"/>
            <w:vAlign w:val="center"/>
          </w:tcPr>
          <w:p w14:paraId="24910C42">
            <w:pPr>
              <w:spacing w:before="0" w:after="0" w:line="269" w:lineRule="auto"/>
              <w:jc w:val="center"/>
            </w:pPr>
            <w:r>
              <w:rPr>
                <w:rFonts w:ascii="微软雅黑" w:hAnsi="微软雅黑" w:eastAsia="微软雅黑"/>
                <w:color w:val="263238"/>
                <w:sz w:val="14"/>
              </w:rPr>
              <w:t>12（70.6%）</w:t>
            </w:r>
          </w:p>
        </w:tc>
        <w:tc>
          <w:tcPr>
            <w:tcW w:w="1531" w:type="dxa"/>
            <w:vAlign w:val="center"/>
          </w:tcPr>
          <w:p w14:paraId="6B900296">
            <w:pPr>
              <w:spacing w:before="0" w:after="0" w:line="269" w:lineRule="auto"/>
              <w:jc w:val="center"/>
            </w:pPr>
            <w:r>
              <w:rPr>
                <w:rFonts w:ascii="微软雅黑" w:hAnsi="微软雅黑" w:eastAsia="微软雅黑"/>
                <w:color w:val="263238"/>
                <w:sz w:val="14"/>
              </w:rPr>
              <w:t>1（5.9%）</w:t>
            </w:r>
          </w:p>
        </w:tc>
        <w:tc>
          <w:tcPr>
            <w:tcW w:w="1757" w:type="dxa"/>
            <w:vAlign w:val="center"/>
          </w:tcPr>
          <w:p w14:paraId="0EC020B1">
            <w:pPr>
              <w:spacing w:before="0" w:after="0" w:line="269" w:lineRule="auto"/>
              <w:jc w:val="center"/>
            </w:pPr>
            <w:r>
              <w:rPr>
                <w:rFonts w:ascii="微软雅黑" w:hAnsi="微软雅黑" w:eastAsia="微软雅黑"/>
                <w:color w:val="263238"/>
                <w:sz w:val="14"/>
              </w:rPr>
              <w:t>4（23.5%）</w:t>
            </w:r>
          </w:p>
        </w:tc>
        <w:tc>
          <w:tcPr>
            <w:tcW w:w="1871" w:type="dxa"/>
            <w:vAlign w:val="center"/>
          </w:tcPr>
          <w:p w14:paraId="7BB2E4DD">
            <w:pPr>
              <w:spacing w:before="0" w:after="0" w:line="269" w:lineRule="auto"/>
              <w:jc w:val="center"/>
            </w:pPr>
            <w:r>
              <w:rPr>
                <w:rFonts w:ascii="微软雅黑" w:hAnsi="微软雅黑" w:eastAsia="微软雅黑"/>
                <w:color w:val="263238"/>
                <w:sz w:val="14"/>
              </w:rPr>
              <w:t>1（5.9%）</w:t>
            </w:r>
          </w:p>
        </w:tc>
      </w:tr>
      <w:tr w14:paraId="7C52FD1C">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1F37AD17">
            <w:pPr>
              <w:spacing w:before="0" w:after="0" w:line="269" w:lineRule="auto"/>
              <w:jc w:val="center"/>
            </w:pPr>
            <w:r>
              <w:rPr>
                <w:rFonts w:ascii="微软雅黑" w:hAnsi="微软雅黑" w:eastAsia="微软雅黑"/>
                <w:color w:val="263238"/>
                <w:sz w:val="14"/>
              </w:rPr>
              <w:t>重庆</w:t>
            </w:r>
          </w:p>
        </w:tc>
        <w:tc>
          <w:tcPr>
            <w:tcW w:w="567" w:type="dxa"/>
            <w:vAlign w:val="center"/>
          </w:tcPr>
          <w:p w14:paraId="35F8123D">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08E0818F">
            <w:pPr>
              <w:spacing w:before="0" w:after="0" w:line="269" w:lineRule="auto"/>
              <w:jc w:val="center"/>
            </w:pPr>
            <w:r>
              <w:rPr>
                <w:rFonts w:ascii="微软雅黑" w:hAnsi="微软雅黑" w:eastAsia="微软雅黑"/>
                <w:color w:val="263238"/>
                <w:sz w:val="14"/>
              </w:rPr>
              <w:t>14（70.0%）</w:t>
            </w:r>
          </w:p>
        </w:tc>
        <w:tc>
          <w:tcPr>
            <w:tcW w:w="1531" w:type="dxa"/>
            <w:vAlign w:val="center"/>
          </w:tcPr>
          <w:p w14:paraId="27D704CC">
            <w:pPr>
              <w:spacing w:before="0" w:after="0" w:line="269" w:lineRule="auto"/>
              <w:jc w:val="center"/>
            </w:pPr>
            <w:r>
              <w:rPr>
                <w:rFonts w:ascii="微软雅黑" w:hAnsi="微软雅黑" w:eastAsia="微软雅黑"/>
                <w:color w:val="263238"/>
                <w:sz w:val="14"/>
              </w:rPr>
              <w:t>0（0.0%）</w:t>
            </w:r>
          </w:p>
        </w:tc>
        <w:tc>
          <w:tcPr>
            <w:tcW w:w="1757" w:type="dxa"/>
            <w:vAlign w:val="center"/>
          </w:tcPr>
          <w:p w14:paraId="7EDFC246">
            <w:pPr>
              <w:spacing w:before="0" w:after="0" w:line="269" w:lineRule="auto"/>
              <w:jc w:val="center"/>
            </w:pPr>
            <w:r>
              <w:rPr>
                <w:rFonts w:ascii="微软雅黑" w:hAnsi="微软雅黑" w:eastAsia="微软雅黑"/>
                <w:color w:val="263238"/>
                <w:sz w:val="14"/>
              </w:rPr>
              <w:t>5（25.0%）</w:t>
            </w:r>
          </w:p>
        </w:tc>
        <w:tc>
          <w:tcPr>
            <w:tcW w:w="1871" w:type="dxa"/>
            <w:vAlign w:val="center"/>
          </w:tcPr>
          <w:p w14:paraId="692CF229">
            <w:pPr>
              <w:spacing w:before="0" w:after="0" w:line="269" w:lineRule="auto"/>
              <w:jc w:val="center"/>
            </w:pPr>
            <w:r>
              <w:rPr>
                <w:rFonts w:ascii="微软雅黑" w:hAnsi="微软雅黑" w:eastAsia="微软雅黑"/>
                <w:color w:val="263238"/>
                <w:sz w:val="14"/>
              </w:rPr>
              <w:t>3（15.0%）</w:t>
            </w:r>
          </w:p>
        </w:tc>
      </w:tr>
      <w:tr w14:paraId="6E0389B9">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16C522CC">
            <w:pPr>
              <w:spacing w:before="0" w:after="0" w:line="269" w:lineRule="auto"/>
              <w:jc w:val="center"/>
            </w:pPr>
            <w:r>
              <w:rPr>
                <w:rFonts w:ascii="微软雅黑" w:hAnsi="微软雅黑" w:eastAsia="微软雅黑"/>
                <w:color w:val="263238"/>
                <w:sz w:val="14"/>
              </w:rPr>
              <w:t>南京</w:t>
            </w:r>
          </w:p>
        </w:tc>
        <w:tc>
          <w:tcPr>
            <w:tcW w:w="567" w:type="dxa"/>
            <w:vAlign w:val="center"/>
          </w:tcPr>
          <w:p w14:paraId="23D496E5">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2DAD9E2B">
            <w:pPr>
              <w:spacing w:before="0" w:after="0" w:line="269" w:lineRule="auto"/>
              <w:jc w:val="center"/>
            </w:pPr>
            <w:r>
              <w:rPr>
                <w:rFonts w:ascii="微软雅黑" w:hAnsi="微软雅黑" w:eastAsia="微软雅黑"/>
                <w:color w:val="263238"/>
                <w:sz w:val="14"/>
              </w:rPr>
              <w:t>13（68.4%）</w:t>
            </w:r>
          </w:p>
        </w:tc>
        <w:tc>
          <w:tcPr>
            <w:tcW w:w="1531" w:type="dxa"/>
            <w:vAlign w:val="center"/>
          </w:tcPr>
          <w:p w14:paraId="78999C54">
            <w:pPr>
              <w:spacing w:before="0" w:after="0" w:line="269" w:lineRule="auto"/>
              <w:jc w:val="center"/>
            </w:pPr>
            <w:r>
              <w:rPr>
                <w:rFonts w:ascii="微软雅黑" w:hAnsi="微软雅黑" w:eastAsia="微软雅黑"/>
                <w:color w:val="263238"/>
                <w:sz w:val="14"/>
              </w:rPr>
              <w:t>1（5.3%）</w:t>
            </w:r>
          </w:p>
        </w:tc>
        <w:tc>
          <w:tcPr>
            <w:tcW w:w="1757" w:type="dxa"/>
            <w:vAlign w:val="center"/>
          </w:tcPr>
          <w:p w14:paraId="380F3202">
            <w:pPr>
              <w:spacing w:before="0" w:after="0" w:line="269" w:lineRule="auto"/>
              <w:jc w:val="center"/>
            </w:pPr>
            <w:r>
              <w:rPr>
                <w:rFonts w:ascii="微软雅黑" w:hAnsi="微软雅黑" w:eastAsia="微软雅黑"/>
                <w:color w:val="263238"/>
                <w:sz w:val="14"/>
              </w:rPr>
              <w:t>4（21.1%）</w:t>
            </w:r>
          </w:p>
        </w:tc>
        <w:tc>
          <w:tcPr>
            <w:tcW w:w="1871" w:type="dxa"/>
            <w:vAlign w:val="center"/>
          </w:tcPr>
          <w:p w14:paraId="39FE5B5B">
            <w:pPr>
              <w:spacing w:before="0" w:after="0" w:line="269" w:lineRule="auto"/>
              <w:jc w:val="center"/>
            </w:pPr>
            <w:r>
              <w:rPr>
                <w:rFonts w:ascii="微软雅黑" w:hAnsi="微软雅黑" w:eastAsia="微软雅黑"/>
                <w:color w:val="263238"/>
                <w:sz w:val="14"/>
              </w:rPr>
              <w:t>3（15.8%）</w:t>
            </w:r>
          </w:p>
        </w:tc>
      </w:tr>
      <w:tr w14:paraId="774CB74C">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18C76BFB">
            <w:pPr>
              <w:spacing w:before="0" w:after="0" w:line="269" w:lineRule="auto"/>
              <w:jc w:val="center"/>
            </w:pPr>
            <w:r>
              <w:rPr>
                <w:rFonts w:ascii="微软雅黑" w:hAnsi="微软雅黑" w:eastAsia="微软雅黑"/>
                <w:color w:val="263238"/>
                <w:sz w:val="14"/>
              </w:rPr>
              <w:t>昆明</w:t>
            </w:r>
          </w:p>
        </w:tc>
        <w:tc>
          <w:tcPr>
            <w:tcW w:w="567" w:type="dxa"/>
            <w:vAlign w:val="center"/>
          </w:tcPr>
          <w:p w14:paraId="358633B5">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787A7114">
            <w:pPr>
              <w:spacing w:before="0" w:after="0" w:line="269" w:lineRule="auto"/>
              <w:jc w:val="center"/>
            </w:pPr>
            <w:r>
              <w:rPr>
                <w:rFonts w:ascii="微软雅黑" w:hAnsi="微软雅黑" w:eastAsia="微软雅黑"/>
                <w:color w:val="263238"/>
                <w:sz w:val="14"/>
              </w:rPr>
              <w:t>13（68.4%）</w:t>
            </w:r>
          </w:p>
        </w:tc>
        <w:tc>
          <w:tcPr>
            <w:tcW w:w="1531" w:type="dxa"/>
            <w:vAlign w:val="center"/>
          </w:tcPr>
          <w:p w14:paraId="0C5113AA">
            <w:pPr>
              <w:spacing w:before="0" w:after="0" w:line="269" w:lineRule="auto"/>
              <w:jc w:val="center"/>
            </w:pPr>
            <w:r>
              <w:rPr>
                <w:rFonts w:ascii="微软雅黑" w:hAnsi="微软雅黑" w:eastAsia="微软雅黑"/>
                <w:color w:val="263238"/>
                <w:sz w:val="14"/>
              </w:rPr>
              <w:t>0（0.0%）</w:t>
            </w:r>
          </w:p>
        </w:tc>
        <w:tc>
          <w:tcPr>
            <w:tcW w:w="1757" w:type="dxa"/>
            <w:vAlign w:val="center"/>
          </w:tcPr>
          <w:p w14:paraId="1D6C1CED">
            <w:pPr>
              <w:spacing w:before="0" w:after="0" w:line="269" w:lineRule="auto"/>
              <w:jc w:val="center"/>
            </w:pPr>
            <w:r>
              <w:rPr>
                <w:rFonts w:ascii="微软雅黑" w:hAnsi="微软雅黑" w:eastAsia="微软雅黑"/>
                <w:color w:val="263238"/>
                <w:sz w:val="14"/>
              </w:rPr>
              <w:t>6（31.6%）</w:t>
            </w:r>
          </w:p>
        </w:tc>
        <w:tc>
          <w:tcPr>
            <w:tcW w:w="1871" w:type="dxa"/>
            <w:vAlign w:val="center"/>
          </w:tcPr>
          <w:p w14:paraId="579E8477">
            <w:pPr>
              <w:spacing w:before="0" w:after="0" w:line="269" w:lineRule="auto"/>
              <w:jc w:val="center"/>
            </w:pPr>
            <w:r>
              <w:rPr>
                <w:rFonts w:ascii="微软雅黑" w:hAnsi="微软雅黑" w:eastAsia="微软雅黑"/>
                <w:color w:val="263238"/>
                <w:sz w:val="14"/>
              </w:rPr>
              <w:t>3（15.8%）</w:t>
            </w:r>
          </w:p>
        </w:tc>
      </w:tr>
      <w:tr w14:paraId="5F147D1E">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5520D84B">
            <w:pPr>
              <w:spacing w:before="0" w:after="0" w:line="269" w:lineRule="auto"/>
              <w:jc w:val="center"/>
            </w:pPr>
            <w:r>
              <w:rPr>
                <w:rFonts w:ascii="微软雅黑" w:hAnsi="微软雅黑" w:eastAsia="微软雅黑"/>
                <w:color w:val="263238"/>
                <w:sz w:val="14"/>
              </w:rPr>
              <w:t>哈尔滨</w:t>
            </w:r>
          </w:p>
        </w:tc>
        <w:tc>
          <w:tcPr>
            <w:tcW w:w="567" w:type="dxa"/>
            <w:vAlign w:val="center"/>
          </w:tcPr>
          <w:p w14:paraId="68168E7C">
            <w:pPr>
              <w:spacing w:before="0" w:after="0" w:line="269" w:lineRule="auto"/>
              <w:ind w:firstLine="0"/>
              <w:jc w:val="center"/>
            </w:pPr>
            <w:r>
              <w:rPr>
                <w:rFonts w:ascii="微软雅黑" w:hAnsi="微软雅黑" w:eastAsia="微软雅黑"/>
                <w:color w:val="263238"/>
                <w:sz w:val="14"/>
              </w:rPr>
              <w:t>18</w:t>
            </w:r>
          </w:p>
        </w:tc>
        <w:tc>
          <w:tcPr>
            <w:tcW w:w="1531" w:type="dxa"/>
            <w:vAlign w:val="center"/>
          </w:tcPr>
          <w:p w14:paraId="446511B3">
            <w:pPr>
              <w:spacing w:before="0" w:after="0" w:line="269" w:lineRule="auto"/>
              <w:jc w:val="center"/>
            </w:pPr>
            <w:r>
              <w:rPr>
                <w:rFonts w:ascii="微软雅黑" w:hAnsi="微软雅黑" w:eastAsia="微软雅黑"/>
                <w:color w:val="263238"/>
                <w:sz w:val="14"/>
              </w:rPr>
              <w:t>12（66.7%）</w:t>
            </w:r>
          </w:p>
        </w:tc>
        <w:tc>
          <w:tcPr>
            <w:tcW w:w="1531" w:type="dxa"/>
            <w:vAlign w:val="center"/>
          </w:tcPr>
          <w:p w14:paraId="7464D405">
            <w:pPr>
              <w:spacing w:before="0" w:after="0" w:line="269" w:lineRule="auto"/>
              <w:jc w:val="center"/>
            </w:pPr>
            <w:r>
              <w:rPr>
                <w:rFonts w:ascii="微软雅黑" w:hAnsi="微软雅黑" w:eastAsia="微软雅黑"/>
                <w:color w:val="263238"/>
                <w:sz w:val="14"/>
              </w:rPr>
              <w:t>2（11.1%）</w:t>
            </w:r>
          </w:p>
        </w:tc>
        <w:tc>
          <w:tcPr>
            <w:tcW w:w="1757" w:type="dxa"/>
            <w:vAlign w:val="center"/>
          </w:tcPr>
          <w:p w14:paraId="5B26B568">
            <w:pPr>
              <w:spacing w:before="0" w:after="0" w:line="269" w:lineRule="auto"/>
              <w:jc w:val="center"/>
            </w:pPr>
            <w:r>
              <w:rPr>
                <w:rFonts w:ascii="微软雅黑" w:hAnsi="微软雅黑" w:eastAsia="微软雅黑"/>
                <w:color w:val="263238"/>
                <w:sz w:val="14"/>
              </w:rPr>
              <w:t>6（33.3%）</w:t>
            </w:r>
          </w:p>
        </w:tc>
        <w:tc>
          <w:tcPr>
            <w:tcW w:w="1871" w:type="dxa"/>
            <w:vAlign w:val="center"/>
          </w:tcPr>
          <w:p w14:paraId="770A3EB4">
            <w:pPr>
              <w:spacing w:before="0" w:after="0" w:line="269" w:lineRule="auto"/>
              <w:jc w:val="center"/>
            </w:pPr>
            <w:r>
              <w:rPr>
                <w:rFonts w:ascii="微软雅黑" w:hAnsi="微软雅黑" w:eastAsia="微软雅黑"/>
                <w:color w:val="263238"/>
                <w:sz w:val="14"/>
              </w:rPr>
              <w:t>4（22.2%）</w:t>
            </w:r>
          </w:p>
        </w:tc>
      </w:tr>
      <w:tr w14:paraId="6722C2DE">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010E04F">
            <w:pPr>
              <w:spacing w:before="0" w:after="0" w:line="269" w:lineRule="auto"/>
              <w:jc w:val="center"/>
            </w:pPr>
            <w:r>
              <w:rPr>
                <w:rFonts w:ascii="微软雅黑" w:hAnsi="微软雅黑" w:eastAsia="微软雅黑"/>
                <w:color w:val="263238"/>
                <w:sz w:val="14"/>
              </w:rPr>
              <w:t>合肥</w:t>
            </w:r>
          </w:p>
        </w:tc>
        <w:tc>
          <w:tcPr>
            <w:tcW w:w="567" w:type="dxa"/>
            <w:vAlign w:val="center"/>
          </w:tcPr>
          <w:p w14:paraId="127A0C92">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6F40F6A8">
            <w:pPr>
              <w:spacing w:before="0" w:after="0" w:line="269" w:lineRule="auto"/>
              <w:jc w:val="center"/>
            </w:pPr>
            <w:r>
              <w:rPr>
                <w:rFonts w:ascii="微软雅黑" w:hAnsi="微软雅黑" w:eastAsia="微软雅黑"/>
                <w:color w:val="263238"/>
                <w:sz w:val="14"/>
              </w:rPr>
              <w:t>13（65.0%）</w:t>
            </w:r>
          </w:p>
        </w:tc>
        <w:tc>
          <w:tcPr>
            <w:tcW w:w="1531" w:type="dxa"/>
            <w:vAlign w:val="center"/>
          </w:tcPr>
          <w:p w14:paraId="2A437F06">
            <w:pPr>
              <w:spacing w:before="0" w:after="0" w:line="269" w:lineRule="auto"/>
              <w:jc w:val="center"/>
            </w:pPr>
            <w:r>
              <w:rPr>
                <w:rFonts w:ascii="微软雅黑" w:hAnsi="微软雅黑" w:eastAsia="微软雅黑"/>
                <w:color w:val="263238"/>
                <w:sz w:val="14"/>
              </w:rPr>
              <w:t>2（10.0%）</w:t>
            </w:r>
          </w:p>
        </w:tc>
        <w:tc>
          <w:tcPr>
            <w:tcW w:w="1757" w:type="dxa"/>
            <w:vAlign w:val="center"/>
          </w:tcPr>
          <w:p w14:paraId="7A6CC38C">
            <w:pPr>
              <w:spacing w:before="0" w:after="0" w:line="269" w:lineRule="auto"/>
              <w:jc w:val="center"/>
            </w:pPr>
            <w:r>
              <w:rPr>
                <w:rFonts w:ascii="微软雅黑" w:hAnsi="微软雅黑" w:eastAsia="微软雅黑"/>
                <w:color w:val="263238"/>
                <w:sz w:val="14"/>
              </w:rPr>
              <w:t>5（25.0%）</w:t>
            </w:r>
          </w:p>
        </w:tc>
        <w:tc>
          <w:tcPr>
            <w:tcW w:w="1871" w:type="dxa"/>
            <w:vAlign w:val="center"/>
          </w:tcPr>
          <w:p w14:paraId="3996BECE">
            <w:pPr>
              <w:spacing w:before="0" w:after="0" w:line="269" w:lineRule="auto"/>
              <w:jc w:val="center"/>
            </w:pPr>
            <w:r>
              <w:rPr>
                <w:rFonts w:ascii="微软雅黑" w:hAnsi="微软雅黑" w:eastAsia="微软雅黑"/>
                <w:color w:val="263238"/>
                <w:sz w:val="14"/>
              </w:rPr>
              <w:t>4（20.0%）</w:t>
            </w:r>
          </w:p>
        </w:tc>
      </w:tr>
      <w:tr w14:paraId="6DD5722E">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B9ABD47">
            <w:pPr>
              <w:spacing w:before="0" w:after="0" w:line="269" w:lineRule="auto"/>
              <w:jc w:val="center"/>
            </w:pPr>
            <w:r>
              <w:rPr>
                <w:rFonts w:ascii="微软雅黑" w:hAnsi="微软雅黑" w:eastAsia="微软雅黑"/>
                <w:color w:val="263238"/>
                <w:sz w:val="14"/>
              </w:rPr>
              <w:t>长沙</w:t>
            </w:r>
          </w:p>
        </w:tc>
        <w:tc>
          <w:tcPr>
            <w:tcW w:w="567" w:type="dxa"/>
            <w:vAlign w:val="center"/>
          </w:tcPr>
          <w:p w14:paraId="3A5C2595">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7C1AA855">
            <w:pPr>
              <w:spacing w:before="0" w:after="0" w:line="269" w:lineRule="auto"/>
              <w:jc w:val="center"/>
            </w:pPr>
            <w:r>
              <w:rPr>
                <w:rFonts w:ascii="微软雅黑" w:hAnsi="微软雅黑" w:eastAsia="微软雅黑"/>
                <w:color w:val="263238"/>
                <w:sz w:val="14"/>
              </w:rPr>
              <w:t>13（65.0%）</w:t>
            </w:r>
          </w:p>
        </w:tc>
        <w:tc>
          <w:tcPr>
            <w:tcW w:w="1531" w:type="dxa"/>
            <w:vAlign w:val="center"/>
          </w:tcPr>
          <w:p w14:paraId="25B8B19A">
            <w:pPr>
              <w:spacing w:before="0" w:after="0" w:line="269" w:lineRule="auto"/>
              <w:jc w:val="center"/>
            </w:pPr>
            <w:r>
              <w:rPr>
                <w:rFonts w:ascii="微软雅黑" w:hAnsi="微软雅黑" w:eastAsia="微软雅黑"/>
                <w:color w:val="263238"/>
                <w:sz w:val="14"/>
              </w:rPr>
              <w:t>3（15.0%）</w:t>
            </w:r>
          </w:p>
        </w:tc>
        <w:tc>
          <w:tcPr>
            <w:tcW w:w="1757" w:type="dxa"/>
            <w:vAlign w:val="center"/>
          </w:tcPr>
          <w:p w14:paraId="39822A00">
            <w:pPr>
              <w:spacing w:before="0" w:after="0" w:line="269" w:lineRule="auto"/>
              <w:jc w:val="center"/>
            </w:pPr>
            <w:r>
              <w:rPr>
                <w:rFonts w:ascii="微软雅黑" w:hAnsi="微软雅黑" w:eastAsia="微软雅黑"/>
                <w:color w:val="263238"/>
                <w:sz w:val="14"/>
              </w:rPr>
              <w:t>4（20.0%）</w:t>
            </w:r>
          </w:p>
        </w:tc>
        <w:tc>
          <w:tcPr>
            <w:tcW w:w="1871" w:type="dxa"/>
            <w:vAlign w:val="center"/>
          </w:tcPr>
          <w:p w14:paraId="51921FA9">
            <w:pPr>
              <w:spacing w:before="0" w:after="0" w:line="269" w:lineRule="auto"/>
              <w:jc w:val="center"/>
            </w:pPr>
            <w:r>
              <w:rPr>
                <w:rFonts w:ascii="微软雅黑" w:hAnsi="微软雅黑" w:eastAsia="微软雅黑"/>
                <w:color w:val="263238"/>
                <w:sz w:val="14"/>
              </w:rPr>
              <w:t>5（25.0%）</w:t>
            </w:r>
          </w:p>
        </w:tc>
      </w:tr>
      <w:tr w14:paraId="13AC7655">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08A3C1C">
            <w:pPr>
              <w:spacing w:before="0" w:after="0" w:line="269" w:lineRule="auto"/>
              <w:jc w:val="center"/>
            </w:pPr>
            <w:r>
              <w:rPr>
                <w:rFonts w:ascii="微软雅黑" w:hAnsi="微软雅黑" w:eastAsia="微软雅黑"/>
                <w:color w:val="263238"/>
                <w:sz w:val="14"/>
              </w:rPr>
              <w:t>宁波</w:t>
            </w:r>
          </w:p>
        </w:tc>
        <w:tc>
          <w:tcPr>
            <w:tcW w:w="567" w:type="dxa"/>
            <w:vAlign w:val="center"/>
          </w:tcPr>
          <w:p w14:paraId="4230B924">
            <w:pPr>
              <w:spacing w:before="0" w:after="0" w:line="269" w:lineRule="auto"/>
              <w:ind w:firstLine="0"/>
              <w:jc w:val="center"/>
            </w:pPr>
            <w:r>
              <w:rPr>
                <w:rFonts w:ascii="微软雅黑" w:hAnsi="微软雅黑" w:eastAsia="微软雅黑"/>
                <w:color w:val="263238"/>
                <w:sz w:val="14"/>
              </w:rPr>
              <w:t>17</w:t>
            </w:r>
          </w:p>
        </w:tc>
        <w:tc>
          <w:tcPr>
            <w:tcW w:w="1531" w:type="dxa"/>
            <w:vAlign w:val="center"/>
          </w:tcPr>
          <w:p w14:paraId="623B720B">
            <w:pPr>
              <w:spacing w:before="0" w:after="0" w:line="269" w:lineRule="auto"/>
              <w:jc w:val="center"/>
            </w:pPr>
            <w:r>
              <w:rPr>
                <w:rFonts w:ascii="微软雅黑" w:hAnsi="微软雅黑" w:eastAsia="微软雅黑"/>
                <w:color w:val="263238"/>
                <w:sz w:val="14"/>
              </w:rPr>
              <w:t>11（64.7%）</w:t>
            </w:r>
          </w:p>
        </w:tc>
        <w:tc>
          <w:tcPr>
            <w:tcW w:w="1531" w:type="dxa"/>
            <w:vAlign w:val="center"/>
          </w:tcPr>
          <w:p w14:paraId="1D92F347">
            <w:pPr>
              <w:spacing w:before="0" w:after="0" w:line="269" w:lineRule="auto"/>
              <w:jc w:val="center"/>
            </w:pPr>
            <w:r>
              <w:rPr>
                <w:rFonts w:ascii="微软雅黑" w:hAnsi="微软雅黑" w:eastAsia="微软雅黑"/>
                <w:color w:val="263238"/>
                <w:sz w:val="14"/>
              </w:rPr>
              <w:t>1（5.9%）</w:t>
            </w:r>
          </w:p>
        </w:tc>
        <w:tc>
          <w:tcPr>
            <w:tcW w:w="1757" w:type="dxa"/>
            <w:vAlign w:val="center"/>
          </w:tcPr>
          <w:p w14:paraId="298BB81F">
            <w:pPr>
              <w:spacing w:before="0" w:after="0" w:line="269" w:lineRule="auto"/>
              <w:jc w:val="center"/>
            </w:pPr>
            <w:r>
              <w:rPr>
                <w:rFonts w:ascii="微软雅黑" w:hAnsi="微软雅黑" w:eastAsia="微软雅黑"/>
                <w:color w:val="263238"/>
                <w:sz w:val="14"/>
              </w:rPr>
              <w:t>5（29.4%）</w:t>
            </w:r>
          </w:p>
        </w:tc>
        <w:tc>
          <w:tcPr>
            <w:tcW w:w="1871" w:type="dxa"/>
            <w:vAlign w:val="center"/>
          </w:tcPr>
          <w:p w14:paraId="7023421E">
            <w:pPr>
              <w:spacing w:before="0" w:after="0" w:line="269" w:lineRule="auto"/>
              <w:jc w:val="center"/>
            </w:pPr>
            <w:r>
              <w:rPr>
                <w:rFonts w:ascii="微软雅黑" w:hAnsi="微软雅黑" w:eastAsia="微软雅黑"/>
                <w:color w:val="263238"/>
                <w:sz w:val="14"/>
              </w:rPr>
              <w:t>4（23.5%）</w:t>
            </w:r>
          </w:p>
        </w:tc>
      </w:tr>
      <w:tr w14:paraId="045AA4B2">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5A44510D">
            <w:pPr>
              <w:spacing w:before="0" w:after="0" w:line="269" w:lineRule="auto"/>
              <w:jc w:val="center"/>
            </w:pPr>
            <w:r>
              <w:rPr>
                <w:rFonts w:ascii="微软雅黑" w:hAnsi="微软雅黑" w:eastAsia="微软雅黑"/>
                <w:color w:val="263238"/>
                <w:sz w:val="14"/>
              </w:rPr>
              <w:t>扬州</w:t>
            </w:r>
          </w:p>
        </w:tc>
        <w:tc>
          <w:tcPr>
            <w:tcW w:w="567" w:type="dxa"/>
            <w:vAlign w:val="center"/>
          </w:tcPr>
          <w:p w14:paraId="09E64614">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621B2563">
            <w:pPr>
              <w:spacing w:before="0" w:after="0" w:line="269" w:lineRule="auto"/>
              <w:jc w:val="center"/>
            </w:pPr>
            <w:r>
              <w:rPr>
                <w:rFonts w:ascii="微软雅黑" w:hAnsi="微软雅黑" w:eastAsia="微软雅黑"/>
                <w:color w:val="263238"/>
                <w:sz w:val="14"/>
              </w:rPr>
              <w:t>11（57.9%）</w:t>
            </w:r>
          </w:p>
        </w:tc>
        <w:tc>
          <w:tcPr>
            <w:tcW w:w="1531" w:type="dxa"/>
            <w:vAlign w:val="center"/>
          </w:tcPr>
          <w:p w14:paraId="467622AD">
            <w:pPr>
              <w:spacing w:before="0" w:after="0" w:line="269" w:lineRule="auto"/>
              <w:jc w:val="center"/>
            </w:pPr>
            <w:r>
              <w:rPr>
                <w:rFonts w:ascii="微软雅黑" w:hAnsi="微软雅黑" w:eastAsia="微软雅黑"/>
                <w:color w:val="263238"/>
                <w:sz w:val="14"/>
              </w:rPr>
              <w:t>1（5.3%）</w:t>
            </w:r>
          </w:p>
        </w:tc>
        <w:tc>
          <w:tcPr>
            <w:tcW w:w="1757" w:type="dxa"/>
            <w:vAlign w:val="center"/>
          </w:tcPr>
          <w:p w14:paraId="3D1D2D46">
            <w:pPr>
              <w:spacing w:before="0" w:after="0" w:line="269" w:lineRule="auto"/>
              <w:jc w:val="center"/>
            </w:pPr>
            <w:r>
              <w:rPr>
                <w:rFonts w:ascii="微软雅黑" w:hAnsi="微软雅黑" w:eastAsia="微软雅黑"/>
                <w:color w:val="263238"/>
                <w:sz w:val="14"/>
              </w:rPr>
              <w:t>3（15.8%）</w:t>
            </w:r>
          </w:p>
        </w:tc>
        <w:tc>
          <w:tcPr>
            <w:tcW w:w="1871" w:type="dxa"/>
            <w:vAlign w:val="center"/>
          </w:tcPr>
          <w:p w14:paraId="235EBBE2">
            <w:pPr>
              <w:spacing w:before="0" w:after="0" w:line="269" w:lineRule="auto"/>
              <w:jc w:val="center"/>
            </w:pPr>
            <w:r>
              <w:rPr>
                <w:rFonts w:ascii="微软雅黑" w:hAnsi="微软雅黑" w:eastAsia="微软雅黑"/>
                <w:color w:val="263238"/>
                <w:sz w:val="14"/>
              </w:rPr>
              <w:t>6（31.6%）</w:t>
            </w:r>
          </w:p>
        </w:tc>
      </w:tr>
      <w:tr w14:paraId="748DFA7B">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246D011B">
            <w:pPr>
              <w:spacing w:before="0" w:after="0" w:line="269" w:lineRule="auto"/>
              <w:jc w:val="center"/>
            </w:pPr>
            <w:r>
              <w:rPr>
                <w:rFonts w:ascii="微软雅黑" w:hAnsi="微软雅黑" w:eastAsia="微软雅黑"/>
                <w:color w:val="263238"/>
                <w:sz w:val="14"/>
              </w:rPr>
              <w:t>三亚</w:t>
            </w:r>
          </w:p>
        </w:tc>
        <w:tc>
          <w:tcPr>
            <w:tcW w:w="567" w:type="dxa"/>
            <w:vAlign w:val="center"/>
          </w:tcPr>
          <w:p w14:paraId="04D02461">
            <w:pPr>
              <w:spacing w:before="0" w:after="0" w:line="269" w:lineRule="auto"/>
              <w:ind w:firstLine="0"/>
              <w:jc w:val="center"/>
            </w:pPr>
            <w:r>
              <w:rPr>
                <w:rFonts w:ascii="微软雅黑" w:hAnsi="微软雅黑" w:eastAsia="微软雅黑"/>
                <w:color w:val="263238"/>
                <w:sz w:val="14"/>
              </w:rPr>
              <w:t>16</w:t>
            </w:r>
          </w:p>
        </w:tc>
        <w:tc>
          <w:tcPr>
            <w:tcW w:w="1531" w:type="dxa"/>
            <w:vAlign w:val="center"/>
          </w:tcPr>
          <w:p w14:paraId="40106039">
            <w:pPr>
              <w:spacing w:before="0" w:after="0" w:line="269" w:lineRule="auto"/>
              <w:jc w:val="center"/>
            </w:pPr>
            <w:r>
              <w:rPr>
                <w:rFonts w:ascii="微软雅黑" w:hAnsi="微软雅黑" w:eastAsia="微软雅黑"/>
                <w:color w:val="263238"/>
                <w:sz w:val="14"/>
              </w:rPr>
              <w:t>9（56.2%）</w:t>
            </w:r>
          </w:p>
        </w:tc>
        <w:tc>
          <w:tcPr>
            <w:tcW w:w="1531" w:type="dxa"/>
            <w:vAlign w:val="center"/>
          </w:tcPr>
          <w:p w14:paraId="4F485362">
            <w:pPr>
              <w:spacing w:before="0" w:after="0" w:line="269" w:lineRule="auto"/>
              <w:jc w:val="center"/>
            </w:pPr>
            <w:r>
              <w:rPr>
                <w:rFonts w:ascii="微软雅黑" w:hAnsi="微软雅黑" w:eastAsia="微软雅黑"/>
                <w:color w:val="263238"/>
                <w:sz w:val="14"/>
              </w:rPr>
              <w:t>2（12.5%）</w:t>
            </w:r>
          </w:p>
        </w:tc>
        <w:tc>
          <w:tcPr>
            <w:tcW w:w="1757" w:type="dxa"/>
            <w:vAlign w:val="center"/>
          </w:tcPr>
          <w:p w14:paraId="24B3A6ED">
            <w:pPr>
              <w:spacing w:before="0" w:after="0" w:line="269" w:lineRule="auto"/>
              <w:jc w:val="center"/>
            </w:pPr>
            <w:r>
              <w:rPr>
                <w:rFonts w:ascii="微软雅黑" w:hAnsi="微软雅黑" w:eastAsia="微软雅黑"/>
                <w:color w:val="263238"/>
                <w:sz w:val="14"/>
              </w:rPr>
              <w:t>4（25.0%）</w:t>
            </w:r>
          </w:p>
        </w:tc>
        <w:tc>
          <w:tcPr>
            <w:tcW w:w="1871" w:type="dxa"/>
            <w:vAlign w:val="center"/>
          </w:tcPr>
          <w:p w14:paraId="1B17A126">
            <w:pPr>
              <w:spacing w:before="0" w:after="0" w:line="269" w:lineRule="auto"/>
              <w:jc w:val="center"/>
            </w:pPr>
            <w:r>
              <w:rPr>
                <w:rFonts w:ascii="微软雅黑" w:hAnsi="微软雅黑" w:eastAsia="微软雅黑"/>
                <w:color w:val="263238"/>
                <w:sz w:val="14"/>
              </w:rPr>
              <w:t>3（18.8%）</w:t>
            </w:r>
          </w:p>
        </w:tc>
      </w:tr>
      <w:tr w14:paraId="5DBD4D8D">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05CF2C0F">
            <w:pPr>
              <w:spacing w:before="0" w:after="0" w:line="269" w:lineRule="auto"/>
              <w:jc w:val="center"/>
            </w:pPr>
            <w:r>
              <w:rPr>
                <w:rFonts w:ascii="微软雅黑" w:hAnsi="微软雅黑" w:eastAsia="微软雅黑"/>
                <w:color w:val="263238"/>
                <w:sz w:val="14"/>
              </w:rPr>
              <w:t>苏州</w:t>
            </w:r>
          </w:p>
        </w:tc>
        <w:tc>
          <w:tcPr>
            <w:tcW w:w="567" w:type="dxa"/>
            <w:vAlign w:val="center"/>
          </w:tcPr>
          <w:p w14:paraId="77D9FA29">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005EF860">
            <w:pPr>
              <w:spacing w:before="0" w:after="0" w:line="269" w:lineRule="auto"/>
              <w:jc w:val="center"/>
            </w:pPr>
            <w:r>
              <w:rPr>
                <w:rFonts w:ascii="微软雅黑" w:hAnsi="微软雅黑" w:eastAsia="微软雅黑"/>
                <w:color w:val="263238"/>
                <w:sz w:val="14"/>
              </w:rPr>
              <w:t>11（55.0%）</w:t>
            </w:r>
          </w:p>
        </w:tc>
        <w:tc>
          <w:tcPr>
            <w:tcW w:w="1531" w:type="dxa"/>
            <w:vAlign w:val="center"/>
          </w:tcPr>
          <w:p w14:paraId="566B298E">
            <w:pPr>
              <w:spacing w:before="0" w:after="0" w:line="269" w:lineRule="auto"/>
              <w:jc w:val="center"/>
            </w:pPr>
            <w:r>
              <w:rPr>
                <w:rFonts w:ascii="微软雅黑" w:hAnsi="微软雅黑" w:eastAsia="微软雅黑"/>
                <w:color w:val="263238"/>
                <w:sz w:val="14"/>
              </w:rPr>
              <w:t>1（5.0%）</w:t>
            </w:r>
          </w:p>
        </w:tc>
        <w:tc>
          <w:tcPr>
            <w:tcW w:w="1757" w:type="dxa"/>
            <w:vAlign w:val="center"/>
          </w:tcPr>
          <w:p w14:paraId="68260CA5">
            <w:pPr>
              <w:spacing w:before="0" w:after="0" w:line="269" w:lineRule="auto"/>
              <w:jc w:val="center"/>
            </w:pPr>
            <w:r>
              <w:rPr>
                <w:rFonts w:ascii="微软雅黑" w:hAnsi="微软雅黑" w:eastAsia="微软雅黑"/>
                <w:color w:val="263238"/>
                <w:sz w:val="14"/>
              </w:rPr>
              <w:t>9（45.0%）</w:t>
            </w:r>
          </w:p>
        </w:tc>
        <w:tc>
          <w:tcPr>
            <w:tcW w:w="1871" w:type="dxa"/>
            <w:vAlign w:val="center"/>
          </w:tcPr>
          <w:p w14:paraId="16BFF8ED">
            <w:pPr>
              <w:spacing w:before="0" w:after="0" w:line="269" w:lineRule="auto"/>
              <w:jc w:val="center"/>
            </w:pPr>
            <w:r>
              <w:rPr>
                <w:rFonts w:ascii="微软雅黑" w:hAnsi="微软雅黑" w:eastAsia="微软雅黑"/>
                <w:color w:val="263238"/>
                <w:sz w:val="14"/>
              </w:rPr>
              <w:t>3（15.0%）</w:t>
            </w:r>
          </w:p>
        </w:tc>
      </w:tr>
    </w:tbl>
    <w:p w14:paraId="4254EF91">
      <w:pPr>
        <w:pStyle w:val="173"/>
      </w:pPr>
      <w:r>
        <w:t>附表1（续）</w:t>
      </w:r>
    </w:p>
    <w:tbl>
      <w:tblPr>
        <w:tblStyle w:val="38"/>
        <w:tblW w:w="0" w:type="auto"/>
        <w:jc w:val="center"/>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Layout w:type="fixed"/>
        <w:tblCellMar>
          <w:top w:w="0" w:type="dxa"/>
          <w:left w:w="108" w:type="dxa"/>
          <w:bottom w:w="0" w:type="dxa"/>
          <w:right w:w="108" w:type="dxa"/>
        </w:tblCellMar>
      </w:tblPr>
      <w:tblGrid>
        <w:gridCol w:w="1134"/>
        <w:gridCol w:w="567"/>
        <w:gridCol w:w="1531"/>
        <w:gridCol w:w="1531"/>
        <w:gridCol w:w="1757"/>
        <w:gridCol w:w="1871"/>
      </w:tblGrid>
      <w:tr w14:paraId="02925B14">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tblHeader/>
          <w:jc w:val="center"/>
        </w:trPr>
        <w:tc>
          <w:tcPr>
            <w:tcW w:w="1134" w:type="dxa"/>
            <w:shd w:val="clear" w:color="auto" w:fill="DDE6F0"/>
            <w:vAlign w:val="center"/>
          </w:tcPr>
          <w:p w14:paraId="4F77633E">
            <w:pPr>
              <w:keepNext/>
              <w:spacing w:before="0" w:after="0" w:line="269" w:lineRule="auto"/>
              <w:jc w:val="center"/>
            </w:pPr>
            <w:r>
              <w:rPr>
                <w:rFonts w:ascii="微软雅黑" w:hAnsi="微软雅黑" w:eastAsia="微软雅黑"/>
                <w:b/>
                <w:color w:val="263238"/>
                <w:sz w:val="14"/>
              </w:rPr>
              <w:t>城市</w:t>
            </w:r>
          </w:p>
        </w:tc>
        <w:tc>
          <w:tcPr>
            <w:tcW w:w="567" w:type="dxa"/>
            <w:shd w:val="clear" w:color="auto" w:fill="DDE6F0"/>
            <w:vAlign w:val="center"/>
          </w:tcPr>
          <w:p w14:paraId="32272BFF">
            <w:pPr>
              <w:keepNext/>
              <w:spacing w:before="0" w:after="0" w:line="269" w:lineRule="auto"/>
              <w:ind w:firstLine="0"/>
              <w:jc w:val="center"/>
            </w:pPr>
            <w:r>
              <w:rPr>
                <w:rFonts w:ascii="微软雅黑" w:hAnsi="微软雅黑" w:eastAsia="微软雅黑"/>
                <w:b/>
                <w:color w:val="263238"/>
                <w:sz w:val="14"/>
              </w:rPr>
              <w:t>n</w:t>
            </w:r>
          </w:p>
        </w:tc>
        <w:tc>
          <w:tcPr>
            <w:tcW w:w="1531" w:type="dxa"/>
            <w:shd w:val="clear" w:color="auto" w:fill="DDE6F0"/>
            <w:vAlign w:val="center"/>
          </w:tcPr>
          <w:p w14:paraId="23CFB3C0">
            <w:pPr>
              <w:keepNext/>
              <w:spacing w:before="0" w:after="0" w:line="269" w:lineRule="auto"/>
              <w:jc w:val="center"/>
            </w:pPr>
            <w:r>
              <w:rPr>
                <w:rFonts w:ascii="微软雅黑" w:hAnsi="微软雅黑" w:eastAsia="微软雅黑"/>
                <w:b/>
                <w:color w:val="263238"/>
                <w:sz w:val="14"/>
              </w:rPr>
              <w:t>直接同意</w:t>
            </w:r>
          </w:p>
        </w:tc>
        <w:tc>
          <w:tcPr>
            <w:tcW w:w="1531" w:type="dxa"/>
            <w:shd w:val="clear" w:color="auto" w:fill="DDE6F0"/>
            <w:vAlign w:val="center"/>
          </w:tcPr>
          <w:p w14:paraId="722F859E">
            <w:pPr>
              <w:keepNext/>
              <w:spacing w:before="0" w:after="0" w:line="269" w:lineRule="auto"/>
              <w:jc w:val="center"/>
            </w:pPr>
            <w:r>
              <w:rPr>
                <w:rFonts w:ascii="微软雅黑" w:hAnsi="微软雅黑" w:eastAsia="微软雅黑"/>
                <w:b/>
                <w:color w:val="263238"/>
                <w:sz w:val="14"/>
              </w:rPr>
              <w:t>最终拒绝</w:t>
            </w:r>
          </w:p>
        </w:tc>
        <w:tc>
          <w:tcPr>
            <w:tcW w:w="1757" w:type="dxa"/>
            <w:shd w:val="clear" w:color="auto" w:fill="DDE6F0"/>
            <w:vAlign w:val="center"/>
          </w:tcPr>
          <w:p w14:paraId="2425F96F">
            <w:pPr>
              <w:keepNext/>
              <w:spacing w:before="0" w:after="0" w:line="269" w:lineRule="auto"/>
              <w:jc w:val="center"/>
            </w:pPr>
            <w:r>
              <w:rPr>
                <w:rFonts w:ascii="微软雅黑" w:hAnsi="微软雅黑" w:eastAsia="微软雅黑"/>
                <w:b/>
                <w:color w:val="263238"/>
                <w:sz w:val="14"/>
              </w:rPr>
              <w:t>2次及以上</w:t>
            </w:r>
          </w:p>
        </w:tc>
        <w:tc>
          <w:tcPr>
            <w:tcW w:w="1871" w:type="dxa"/>
            <w:shd w:val="clear" w:color="auto" w:fill="DDE6F0"/>
            <w:vAlign w:val="center"/>
          </w:tcPr>
          <w:p w14:paraId="5FDED4B0">
            <w:pPr>
              <w:keepNext/>
              <w:spacing w:before="0" w:after="0" w:line="269" w:lineRule="auto"/>
              <w:jc w:val="center"/>
            </w:pPr>
            <w:r>
              <w:rPr>
                <w:rFonts w:ascii="微软雅黑" w:hAnsi="微软雅黑" w:eastAsia="微软雅黑"/>
                <w:b/>
                <w:color w:val="263238"/>
                <w:sz w:val="14"/>
              </w:rPr>
              <w:t>附带条件接纳</w:t>
            </w:r>
          </w:p>
        </w:tc>
      </w:tr>
      <w:tr w14:paraId="799C54C7">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43BCBA66">
            <w:pPr>
              <w:spacing w:before="0" w:after="0" w:line="269" w:lineRule="auto"/>
              <w:jc w:val="center"/>
            </w:pPr>
            <w:r>
              <w:rPr>
                <w:rFonts w:ascii="微软雅黑" w:hAnsi="微软雅黑" w:eastAsia="微软雅黑"/>
                <w:color w:val="263238"/>
                <w:sz w:val="14"/>
              </w:rPr>
              <w:t>武汉</w:t>
            </w:r>
          </w:p>
        </w:tc>
        <w:tc>
          <w:tcPr>
            <w:tcW w:w="567" w:type="dxa"/>
            <w:vAlign w:val="center"/>
          </w:tcPr>
          <w:p w14:paraId="3A47B45F">
            <w:pPr>
              <w:spacing w:before="0" w:after="0" w:line="269" w:lineRule="auto"/>
              <w:ind w:firstLine="0"/>
              <w:jc w:val="center"/>
            </w:pPr>
            <w:r>
              <w:rPr>
                <w:rFonts w:ascii="微软雅黑" w:hAnsi="微软雅黑" w:eastAsia="微软雅黑"/>
                <w:color w:val="263238"/>
                <w:sz w:val="14"/>
              </w:rPr>
              <w:t>17</w:t>
            </w:r>
          </w:p>
        </w:tc>
        <w:tc>
          <w:tcPr>
            <w:tcW w:w="1531" w:type="dxa"/>
            <w:vAlign w:val="center"/>
          </w:tcPr>
          <w:p w14:paraId="6BDF7EC5">
            <w:pPr>
              <w:spacing w:before="0" w:after="0" w:line="269" w:lineRule="auto"/>
              <w:jc w:val="center"/>
            </w:pPr>
            <w:r>
              <w:rPr>
                <w:rFonts w:ascii="微软雅黑" w:hAnsi="微软雅黑" w:eastAsia="微软雅黑"/>
                <w:color w:val="263238"/>
                <w:sz w:val="14"/>
              </w:rPr>
              <w:t>9（52.9%）</w:t>
            </w:r>
          </w:p>
        </w:tc>
        <w:tc>
          <w:tcPr>
            <w:tcW w:w="1531" w:type="dxa"/>
            <w:vAlign w:val="center"/>
          </w:tcPr>
          <w:p w14:paraId="780F38BC">
            <w:pPr>
              <w:spacing w:before="0" w:after="0" w:line="269" w:lineRule="auto"/>
              <w:jc w:val="center"/>
            </w:pPr>
            <w:r>
              <w:rPr>
                <w:rFonts w:ascii="微软雅黑" w:hAnsi="微软雅黑" w:eastAsia="微软雅黑"/>
                <w:color w:val="263238"/>
                <w:sz w:val="14"/>
              </w:rPr>
              <w:t>2（11.8%）</w:t>
            </w:r>
          </w:p>
        </w:tc>
        <w:tc>
          <w:tcPr>
            <w:tcW w:w="1757" w:type="dxa"/>
            <w:vAlign w:val="center"/>
          </w:tcPr>
          <w:p w14:paraId="7B007729">
            <w:pPr>
              <w:spacing w:before="0" w:after="0" w:line="269" w:lineRule="auto"/>
              <w:jc w:val="center"/>
            </w:pPr>
            <w:r>
              <w:rPr>
                <w:rFonts w:ascii="微软雅黑" w:hAnsi="微软雅黑" w:eastAsia="微软雅黑"/>
                <w:color w:val="263238"/>
                <w:sz w:val="14"/>
              </w:rPr>
              <w:t>7（41.2%）</w:t>
            </w:r>
          </w:p>
        </w:tc>
        <w:tc>
          <w:tcPr>
            <w:tcW w:w="1871" w:type="dxa"/>
            <w:vAlign w:val="center"/>
          </w:tcPr>
          <w:p w14:paraId="5BE84B44">
            <w:pPr>
              <w:spacing w:before="0" w:after="0" w:line="269" w:lineRule="auto"/>
              <w:jc w:val="center"/>
            </w:pPr>
            <w:r>
              <w:rPr>
                <w:rFonts w:ascii="微软雅黑" w:hAnsi="微软雅黑" w:eastAsia="微软雅黑"/>
                <w:color w:val="263238"/>
                <w:sz w:val="14"/>
              </w:rPr>
              <w:t>2（11.8%）</w:t>
            </w:r>
          </w:p>
        </w:tc>
      </w:tr>
      <w:tr w14:paraId="18C444A5">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7D6D57C4">
            <w:pPr>
              <w:spacing w:before="0" w:after="0" w:line="269" w:lineRule="auto"/>
              <w:jc w:val="center"/>
            </w:pPr>
            <w:r>
              <w:rPr>
                <w:rFonts w:ascii="微软雅黑" w:hAnsi="微软雅黑" w:eastAsia="微软雅黑"/>
                <w:color w:val="263238"/>
                <w:sz w:val="14"/>
              </w:rPr>
              <w:t>长春</w:t>
            </w:r>
          </w:p>
        </w:tc>
        <w:tc>
          <w:tcPr>
            <w:tcW w:w="567" w:type="dxa"/>
            <w:vAlign w:val="center"/>
          </w:tcPr>
          <w:p w14:paraId="66CCF59C">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5FF741CE">
            <w:pPr>
              <w:spacing w:before="0" w:after="0" w:line="269" w:lineRule="auto"/>
              <w:jc w:val="center"/>
            </w:pPr>
            <w:r>
              <w:rPr>
                <w:rFonts w:ascii="微软雅黑" w:hAnsi="微软雅黑" w:eastAsia="微软雅黑"/>
                <w:color w:val="263238"/>
                <w:sz w:val="14"/>
              </w:rPr>
              <w:t>10（52.6%）</w:t>
            </w:r>
          </w:p>
        </w:tc>
        <w:tc>
          <w:tcPr>
            <w:tcW w:w="1531" w:type="dxa"/>
            <w:vAlign w:val="center"/>
          </w:tcPr>
          <w:p w14:paraId="2BA45766">
            <w:pPr>
              <w:spacing w:before="0" w:after="0" w:line="269" w:lineRule="auto"/>
              <w:jc w:val="center"/>
            </w:pPr>
            <w:r>
              <w:rPr>
                <w:rFonts w:ascii="微软雅黑" w:hAnsi="微软雅黑" w:eastAsia="微软雅黑"/>
                <w:color w:val="263238"/>
                <w:sz w:val="14"/>
              </w:rPr>
              <w:t>1（5.3%）</w:t>
            </w:r>
          </w:p>
        </w:tc>
        <w:tc>
          <w:tcPr>
            <w:tcW w:w="1757" w:type="dxa"/>
            <w:vAlign w:val="center"/>
          </w:tcPr>
          <w:p w14:paraId="5AB9BC8B">
            <w:pPr>
              <w:spacing w:before="0" w:after="0" w:line="269" w:lineRule="auto"/>
              <w:jc w:val="center"/>
            </w:pPr>
            <w:r>
              <w:rPr>
                <w:rFonts w:ascii="微软雅黑" w:hAnsi="微软雅黑" w:eastAsia="微软雅黑"/>
                <w:color w:val="263238"/>
                <w:sz w:val="14"/>
              </w:rPr>
              <w:t>4（21.1%）</w:t>
            </w:r>
          </w:p>
        </w:tc>
        <w:tc>
          <w:tcPr>
            <w:tcW w:w="1871" w:type="dxa"/>
            <w:vAlign w:val="center"/>
          </w:tcPr>
          <w:p w14:paraId="22830E31">
            <w:pPr>
              <w:spacing w:before="0" w:after="0" w:line="269" w:lineRule="auto"/>
              <w:jc w:val="center"/>
            </w:pPr>
            <w:r>
              <w:rPr>
                <w:rFonts w:ascii="微软雅黑" w:hAnsi="微软雅黑" w:eastAsia="微软雅黑"/>
                <w:color w:val="263238"/>
                <w:sz w:val="14"/>
              </w:rPr>
              <w:t>3（15.8%）</w:t>
            </w:r>
          </w:p>
        </w:tc>
      </w:tr>
      <w:tr w14:paraId="4FB864C0">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C8A356C">
            <w:pPr>
              <w:spacing w:before="0" w:after="0" w:line="269" w:lineRule="auto"/>
              <w:jc w:val="center"/>
            </w:pPr>
            <w:r>
              <w:rPr>
                <w:rFonts w:ascii="微软雅黑" w:hAnsi="微软雅黑" w:eastAsia="微软雅黑"/>
                <w:color w:val="263238"/>
                <w:sz w:val="14"/>
              </w:rPr>
              <w:t>广州</w:t>
            </w:r>
          </w:p>
        </w:tc>
        <w:tc>
          <w:tcPr>
            <w:tcW w:w="567" w:type="dxa"/>
            <w:vAlign w:val="center"/>
          </w:tcPr>
          <w:p w14:paraId="1D305504">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623A39B1">
            <w:pPr>
              <w:spacing w:before="0" w:after="0" w:line="269" w:lineRule="auto"/>
              <w:jc w:val="center"/>
            </w:pPr>
            <w:r>
              <w:rPr>
                <w:rFonts w:ascii="微软雅黑" w:hAnsi="微软雅黑" w:eastAsia="微软雅黑"/>
                <w:color w:val="263238"/>
                <w:sz w:val="14"/>
              </w:rPr>
              <w:t>10（50.0%）</w:t>
            </w:r>
          </w:p>
        </w:tc>
        <w:tc>
          <w:tcPr>
            <w:tcW w:w="1531" w:type="dxa"/>
            <w:vAlign w:val="center"/>
          </w:tcPr>
          <w:p w14:paraId="6EC420D3">
            <w:pPr>
              <w:spacing w:before="0" w:after="0" w:line="269" w:lineRule="auto"/>
              <w:jc w:val="center"/>
            </w:pPr>
            <w:r>
              <w:rPr>
                <w:rFonts w:ascii="微软雅黑" w:hAnsi="微软雅黑" w:eastAsia="微软雅黑"/>
                <w:color w:val="263238"/>
                <w:sz w:val="14"/>
              </w:rPr>
              <w:t>5（25.0%）</w:t>
            </w:r>
          </w:p>
        </w:tc>
        <w:tc>
          <w:tcPr>
            <w:tcW w:w="1757" w:type="dxa"/>
            <w:vAlign w:val="center"/>
          </w:tcPr>
          <w:p w14:paraId="752C4392">
            <w:pPr>
              <w:spacing w:before="0" w:after="0" w:line="269" w:lineRule="auto"/>
              <w:jc w:val="center"/>
            </w:pPr>
            <w:r>
              <w:rPr>
                <w:rFonts w:ascii="微软雅黑" w:hAnsi="微软雅黑" w:eastAsia="微软雅黑"/>
                <w:color w:val="263238"/>
                <w:sz w:val="14"/>
              </w:rPr>
              <w:t>5（25.0%）</w:t>
            </w:r>
          </w:p>
        </w:tc>
        <w:tc>
          <w:tcPr>
            <w:tcW w:w="1871" w:type="dxa"/>
            <w:vAlign w:val="center"/>
          </w:tcPr>
          <w:p w14:paraId="3E29413C">
            <w:pPr>
              <w:spacing w:before="0" w:after="0" w:line="269" w:lineRule="auto"/>
              <w:jc w:val="center"/>
            </w:pPr>
            <w:r>
              <w:rPr>
                <w:rFonts w:ascii="微软雅黑" w:hAnsi="微软雅黑" w:eastAsia="微软雅黑"/>
                <w:color w:val="263238"/>
                <w:sz w:val="14"/>
              </w:rPr>
              <w:t>2（10.0%）</w:t>
            </w:r>
          </w:p>
        </w:tc>
      </w:tr>
      <w:tr w14:paraId="1D81FFA7">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6FFDFE4D">
            <w:pPr>
              <w:spacing w:before="0" w:after="0" w:line="269" w:lineRule="auto"/>
              <w:jc w:val="center"/>
            </w:pPr>
            <w:r>
              <w:rPr>
                <w:rFonts w:ascii="微软雅黑" w:hAnsi="微软雅黑" w:eastAsia="微软雅黑"/>
                <w:color w:val="263238"/>
                <w:sz w:val="14"/>
              </w:rPr>
              <w:t>嘉兴</w:t>
            </w:r>
          </w:p>
        </w:tc>
        <w:tc>
          <w:tcPr>
            <w:tcW w:w="567" w:type="dxa"/>
            <w:vAlign w:val="center"/>
          </w:tcPr>
          <w:p w14:paraId="7E11C708">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0B0D6FE0">
            <w:pPr>
              <w:spacing w:before="0" w:after="0" w:line="269" w:lineRule="auto"/>
              <w:jc w:val="center"/>
            </w:pPr>
            <w:r>
              <w:rPr>
                <w:rFonts w:ascii="微软雅黑" w:hAnsi="微软雅黑" w:eastAsia="微软雅黑"/>
                <w:color w:val="263238"/>
                <w:sz w:val="14"/>
              </w:rPr>
              <w:t>9（47.4%）</w:t>
            </w:r>
          </w:p>
        </w:tc>
        <w:tc>
          <w:tcPr>
            <w:tcW w:w="1531" w:type="dxa"/>
            <w:vAlign w:val="center"/>
          </w:tcPr>
          <w:p w14:paraId="1D89A27E">
            <w:pPr>
              <w:spacing w:before="0" w:after="0" w:line="269" w:lineRule="auto"/>
              <w:jc w:val="center"/>
            </w:pPr>
            <w:r>
              <w:rPr>
                <w:rFonts w:ascii="微软雅黑" w:hAnsi="微软雅黑" w:eastAsia="微软雅黑"/>
                <w:color w:val="263238"/>
                <w:sz w:val="14"/>
              </w:rPr>
              <w:t>2（10.5%）</w:t>
            </w:r>
          </w:p>
        </w:tc>
        <w:tc>
          <w:tcPr>
            <w:tcW w:w="1757" w:type="dxa"/>
            <w:vAlign w:val="center"/>
          </w:tcPr>
          <w:p w14:paraId="442B8581">
            <w:pPr>
              <w:spacing w:before="0" w:after="0" w:line="269" w:lineRule="auto"/>
              <w:jc w:val="center"/>
            </w:pPr>
            <w:r>
              <w:rPr>
                <w:rFonts w:ascii="微软雅黑" w:hAnsi="微软雅黑" w:eastAsia="微软雅黑"/>
                <w:color w:val="263238"/>
                <w:sz w:val="14"/>
              </w:rPr>
              <w:t>8（42.1%）</w:t>
            </w:r>
          </w:p>
        </w:tc>
        <w:tc>
          <w:tcPr>
            <w:tcW w:w="1871" w:type="dxa"/>
            <w:vAlign w:val="center"/>
          </w:tcPr>
          <w:p w14:paraId="54AD7583">
            <w:pPr>
              <w:spacing w:before="0" w:after="0" w:line="269" w:lineRule="auto"/>
              <w:jc w:val="center"/>
            </w:pPr>
            <w:r>
              <w:rPr>
                <w:rFonts w:ascii="微软雅黑" w:hAnsi="微软雅黑" w:eastAsia="微软雅黑"/>
                <w:color w:val="263238"/>
                <w:sz w:val="14"/>
              </w:rPr>
              <w:t>2（10.5%）</w:t>
            </w:r>
          </w:p>
        </w:tc>
      </w:tr>
      <w:tr w14:paraId="566E3053">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1F397413">
            <w:pPr>
              <w:spacing w:before="0" w:after="0" w:line="269" w:lineRule="auto"/>
              <w:jc w:val="center"/>
            </w:pPr>
            <w:r>
              <w:rPr>
                <w:rFonts w:ascii="微软雅黑" w:hAnsi="微软雅黑" w:eastAsia="微软雅黑"/>
                <w:color w:val="263238"/>
                <w:sz w:val="14"/>
              </w:rPr>
              <w:t>大连</w:t>
            </w:r>
          </w:p>
        </w:tc>
        <w:tc>
          <w:tcPr>
            <w:tcW w:w="567" w:type="dxa"/>
            <w:vAlign w:val="center"/>
          </w:tcPr>
          <w:p w14:paraId="7A26BE89">
            <w:pPr>
              <w:spacing w:before="0" w:after="0" w:line="269" w:lineRule="auto"/>
              <w:ind w:firstLine="0"/>
              <w:jc w:val="center"/>
            </w:pPr>
            <w:r>
              <w:rPr>
                <w:rFonts w:ascii="微软雅黑" w:hAnsi="微软雅黑" w:eastAsia="微软雅黑"/>
                <w:color w:val="263238"/>
                <w:sz w:val="14"/>
              </w:rPr>
              <w:t>18</w:t>
            </w:r>
          </w:p>
        </w:tc>
        <w:tc>
          <w:tcPr>
            <w:tcW w:w="1531" w:type="dxa"/>
            <w:vAlign w:val="center"/>
          </w:tcPr>
          <w:p w14:paraId="3B689278">
            <w:pPr>
              <w:spacing w:before="0" w:after="0" w:line="269" w:lineRule="auto"/>
              <w:jc w:val="center"/>
            </w:pPr>
            <w:r>
              <w:rPr>
                <w:rFonts w:ascii="微软雅黑" w:hAnsi="微软雅黑" w:eastAsia="微软雅黑"/>
                <w:color w:val="263238"/>
                <w:sz w:val="14"/>
              </w:rPr>
              <w:t>8（44.4%）</w:t>
            </w:r>
          </w:p>
        </w:tc>
        <w:tc>
          <w:tcPr>
            <w:tcW w:w="1531" w:type="dxa"/>
            <w:vAlign w:val="center"/>
          </w:tcPr>
          <w:p w14:paraId="35C7D372">
            <w:pPr>
              <w:spacing w:before="0" w:after="0" w:line="269" w:lineRule="auto"/>
              <w:jc w:val="center"/>
            </w:pPr>
            <w:r>
              <w:rPr>
                <w:rFonts w:ascii="微软雅黑" w:hAnsi="微软雅黑" w:eastAsia="微软雅黑"/>
                <w:color w:val="263238"/>
                <w:sz w:val="14"/>
              </w:rPr>
              <w:t>0（0.0%）</w:t>
            </w:r>
          </w:p>
        </w:tc>
        <w:tc>
          <w:tcPr>
            <w:tcW w:w="1757" w:type="dxa"/>
            <w:vAlign w:val="center"/>
          </w:tcPr>
          <w:p w14:paraId="4E078BB0">
            <w:pPr>
              <w:spacing w:before="0" w:after="0" w:line="269" w:lineRule="auto"/>
              <w:jc w:val="center"/>
            </w:pPr>
            <w:r>
              <w:rPr>
                <w:rFonts w:ascii="微软雅黑" w:hAnsi="微软雅黑" w:eastAsia="微软雅黑"/>
                <w:color w:val="263238"/>
                <w:sz w:val="14"/>
              </w:rPr>
              <w:t>7（38.9%）</w:t>
            </w:r>
          </w:p>
        </w:tc>
        <w:tc>
          <w:tcPr>
            <w:tcW w:w="1871" w:type="dxa"/>
            <w:vAlign w:val="center"/>
          </w:tcPr>
          <w:p w14:paraId="1286BF86">
            <w:pPr>
              <w:spacing w:before="0" w:after="0" w:line="269" w:lineRule="auto"/>
              <w:jc w:val="center"/>
            </w:pPr>
            <w:r>
              <w:rPr>
                <w:rFonts w:ascii="微软雅黑" w:hAnsi="微软雅黑" w:eastAsia="微软雅黑"/>
                <w:color w:val="263238"/>
                <w:sz w:val="14"/>
              </w:rPr>
              <w:t>7（38.9%）</w:t>
            </w:r>
          </w:p>
        </w:tc>
      </w:tr>
      <w:tr w14:paraId="2784AB62">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5C40C647">
            <w:pPr>
              <w:spacing w:before="0" w:after="0" w:line="269" w:lineRule="auto"/>
              <w:jc w:val="center"/>
            </w:pPr>
            <w:r>
              <w:rPr>
                <w:rFonts w:ascii="微软雅黑" w:hAnsi="微软雅黑" w:eastAsia="微软雅黑"/>
                <w:color w:val="263238"/>
                <w:sz w:val="14"/>
              </w:rPr>
              <w:t>西安</w:t>
            </w:r>
          </w:p>
        </w:tc>
        <w:tc>
          <w:tcPr>
            <w:tcW w:w="567" w:type="dxa"/>
            <w:vAlign w:val="center"/>
          </w:tcPr>
          <w:p w14:paraId="3C0381BD">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6D94F15F">
            <w:pPr>
              <w:spacing w:before="0" w:after="0" w:line="269" w:lineRule="auto"/>
              <w:jc w:val="center"/>
            </w:pPr>
            <w:r>
              <w:rPr>
                <w:rFonts w:ascii="微软雅黑" w:hAnsi="微软雅黑" w:eastAsia="微软雅黑"/>
                <w:color w:val="263238"/>
                <w:sz w:val="14"/>
              </w:rPr>
              <w:t>8（42.1%）</w:t>
            </w:r>
          </w:p>
        </w:tc>
        <w:tc>
          <w:tcPr>
            <w:tcW w:w="1531" w:type="dxa"/>
            <w:vAlign w:val="center"/>
          </w:tcPr>
          <w:p w14:paraId="05FCAED2">
            <w:pPr>
              <w:spacing w:before="0" w:after="0" w:line="269" w:lineRule="auto"/>
              <w:jc w:val="center"/>
            </w:pPr>
            <w:r>
              <w:rPr>
                <w:rFonts w:ascii="微软雅黑" w:hAnsi="微软雅黑" w:eastAsia="微软雅黑"/>
                <w:color w:val="263238"/>
                <w:sz w:val="14"/>
              </w:rPr>
              <w:t>2（10.5%）</w:t>
            </w:r>
          </w:p>
        </w:tc>
        <w:tc>
          <w:tcPr>
            <w:tcW w:w="1757" w:type="dxa"/>
            <w:vAlign w:val="center"/>
          </w:tcPr>
          <w:p w14:paraId="49CB5194">
            <w:pPr>
              <w:spacing w:before="0" w:after="0" w:line="269" w:lineRule="auto"/>
              <w:jc w:val="center"/>
            </w:pPr>
            <w:r>
              <w:rPr>
                <w:rFonts w:ascii="微软雅黑" w:hAnsi="微软雅黑" w:eastAsia="微软雅黑"/>
                <w:color w:val="263238"/>
                <w:sz w:val="14"/>
              </w:rPr>
              <w:t>9（47.4%）</w:t>
            </w:r>
          </w:p>
        </w:tc>
        <w:tc>
          <w:tcPr>
            <w:tcW w:w="1871" w:type="dxa"/>
            <w:vAlign w:val="center"/>
          </w:tcPr>
          <w:p w14:paraId="180589D0">
            <w:pPr>
              <w:spacing w:before="0" w:after="0" w:line="269" w:lineRule="auto"/>
              <w:jc w:val="center"/>
            </w:pPr>
            <w:r>
              <w:rPr>
                <w:rFonts w:ascii="微软雅黑" w:hAnsi="微软雅黑" w:eastAsia="微软雅黑"/>
                <w:color w:val="263238"/>
                <w:sz w:val="14"/>
              </w:rPr>
              <w:t>2（10.5%）</w:t>
            </w:r>
          </w:p>
        </w:tc>
      </w:tr>
      <w:tr w14:paraId="6170EAB0">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27AF98A2">
            <w:pPr>
              <w:spacing w:before="0" w:after="0" w:line="269" w:lineRule="auto"/>
              <w:jc w:val="center"/>
            </w:pPr>
            <w:r>
              <w:rPr>
                <w:rFonts w:ascii="微软雅黑" w:hAnsi="微软雅黑" w:eastAsia="微软雅黑"/>
                <w:color w:val="263238"/>
                <w:sz w:val="14"/>
              </w:rPr>
              <w:t>青岛</w:t>
            </w:r>
          </w:p>
        </w:tc>
        <w:tc>
          <w:tcPr>
            <w:tcW w:w="567" w:type="dxa"/>
            <w:vAlign w:val="center"/>
          </w:tcPr>
          <w:p w14:paraId="167F4403">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2B60F3AB">
            <w:pPr>
              <w:spacing w:before="0" w:after="0" w:line="269" w:lineRule="auto"/>
              <w:jc w:val="center"/>
            </w:pPr>
            <w:r>
              <w:rPr>
                <w:rFonts w:ascii="微软雅黑" w:hAnsi="微软雅黑" w:eastAsia="微软雅黑"/>
                <w:color w:val="263238"/>
                <w:sz w:val="14"/>
              </w:rPr>
              <w:t>8（40.0%）</w:t>
            </w:r>
          </w:p>
        </w:tc>
        <w:tc>
          <w:tcPr>
            <w:tcW w:w="1531" w:type="dxa"/>
            <w:vAlign w:val="center"/>
          </w:tcPr>
          <w:p w14:paraId="4170B306">
            <w:pPr>
              <w:spacing w:before="0" w:after="0" w:line="269" w:lineRule="auto"/>
              <w:jc w:val="center"/>
            </w:pPr>
            <w:r>
              <w:rPr>
                <w:rFonts w:ascii="微软雅黑" w:hAnsi="微软雅黑" w:eastAsia="微软雅黑"/>
                <w:color w:val="263238"/>
                <w:sz w:val="14"/>
              </w:rPr>
              <w:t>9（45.0%）</w:t>
            </w:r>
          </w:p>
        </w:tc>
        <w:tc>
          <w:tcPr>
            <w:tcW w:w="1757" w:type="dxa"/>
            <w:vAlign w:val="center"/>
          </w:tcPr>
          <w:p w14:paraId="1B90C719">
            <w:pPr>
              <w:spacing w:before="0" w:after="0" w:line="269" w:lineRule="auto"/>
              <w:jc w:val="center"/>
            </w:pPr>
            <w:r>
              <w:rPr>
                <w:rFonts w:ascii="微软雅黑" w:hAnsi="微软雅黑" w:eastAsia="微软雅黑"/>
                <w:color w:val="263238"/>
                <w:sz w:val="14"/>
              </w:rPr>
              <w:t>8（40.0%）</w:t>
            </w:r>
          </w:p>
        </w:tc>
        <w:tc>
          <w:tcPr>
            <w:tcW w:w="1871" w:type="dxa"/>
            <w:vAlign w:val="center"/>
          </w:tcPr>
          <w:p w14:paraId="1C32BC5D">
            <w:pPr>
              <w:spacing w:before="0" w:after="0" w:line="269" w:lineRule="auto"/>
              <w:jc w:val="center"/>
            </w:pPr>
            <w:r>
              <w:rPr>
                <w:rFonts w:ascii="微软雅黑" w:hAnsi="微软雅黑" w:eastAsia="微软雅黑"/>
                <w:color w:val="263238"/>
                <w:sz w:val="14"/>
              </w:rPr>
              <w:t>1（5.0%）</w:t>
            </w:r>
          </w:p>
        </w:tc>
      </w:tr>
      <w:tr w14:paraId="2BCD4698">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43E856E7">
            <w:pPr>
              <w:spacing w:before="0" w:after="0" w:line="269" w:lineRule="auto"/>
              <w:jc w:val="center"/>
            </w:pPr>
            <w:r>
              <w:rPr>
                <w:rFonts w:ascii="微软雅黑" w:hAnsi="微软雅黑" w:eastAsia="微软雅黑"/>
                <w:color w:val="263238"/>
                <w:sz w:val="14"/>
              </w:rPr>
              <w:t>上海</w:t>
            </w:r>
          </w:p>
        </w:tc>
        <w:tc>
          <w:tcPr>
            <w:tcW w:w="567" w:type="dxa"/>
            <w:vAlign w:val="center"/>
          </w:tcPr>
          <w:p w14:paraId="435AA426">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0758238B">
            <w:pPr>
              <w:spacing w:before="0" w:after="0" w:line="269" w:lineRule="auto"/>
              <w:jc w:val="center"/>
            </w:pPr>
            <w:r>
              <w:rPr>
                <w:rFonts w:ascii="微软雅黑" w:hAnsi="微软雅黑" w:eastAsia="微软雅黑"/>
                <w:color w:val="263238"/>
                <w:sz w:val="14"/>
              </w:rPr>
              <w:t>7（35.0%）</w:t>
            </w:r>
          </w:p>
        </w:tc>
        <w:tc>
          <w:tcPr>
            <w:tcW w:w="1531" w:type="dxa"/>
            <w:vAlign w:val="center"/>
          </w:tcPr>
          <w:p w14:paraId="5B5847E3">
            <w:pPr>
              <w:spacing w:before="0" w:after="0" w:line="269" w:lineRule="auto"/>
              <w:jc w:val="center"/>
            </w:pPr>
            <w:r>
              <w:rPr>
                <w:rFonts w:ascii="微软雅黑" w:hAnsi="微软雅黑" w:eastAsia="微软雅黑"/>
                <w:color w:val="263238"/>
                <w:sz w:val="14"/>
              </w:rPr>
              <w:t>8（40.0%）</w:t>
            </w:r>
          </w:p>
        </w:tc>
        <w:tc>
          <w:tcPr>
            <w:tcW w:w="1757" w:type="dxa"/>
            <w:vAlign w:val="center"/>
          </w:tcPr>
          <w:p w14:paraId="64CAB8BD">
            <w:pPr>
              <w:spacing w:before="0" w:after="0" w:line="269" w:lineRule="auto"/>
              <w:jc w:val="center"/>
            </w:pPr>
            <w:r>
              <w:rPr>
                <w:rFonts w:ascii="微软雅黑" w:hAnsi="微软雅黑" w:eastAsia="微软雅黑"/>
                <w:color w:val="263238"/>
                <w:sz w:val="14"/>
              </w:rPr>
              <w:t>9（45.0%）</w:t>
            </w:r>
          </w:p>
        </w:tc>
        <w:tc>
          <w:tcPr>
            <w:tcW w:w="1871" w:type="dxa"/>
            <w:vAlign w:val="center"/>
          </w:tcPr>
          <w:p w14:paraId="501E0C5E">
            <w:pPr>
              <w:spacing w:before="0" w:after="0" w:line="269" w:lineRule="auto"/>
              <w:jc w:val="center"/>
            </w:pPr>
            <w:r>
              <w:rPr>
                <w:rFonts w:ascii="微软雅黑" w:hAnsi="微软雅黑" w:eastAsia="微软雅黑"/>
                <w:color w:val="263238"/>
                <w:sz w:val="14"/>
              </w:rPr>
              <w:t>1（5.0%）</w:t>
            </w:r>
          </w:p>
        </w:tc>
      </w:tr>
      <w:tr w14:paraId="39F2B111">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7D1A03E4">
            <w:pPr>
              <w:spacing w:before="0" w:after="0" w:line="269" w:lineRule="auto"/>
              <w:jc w:val="center"/>
            </w:pPr>
            <w:r>
              <w:rPr>
                <w:rFonts w:ascii="微软雅黑" w:hAnsi="微软雅黑" w:eastAsia="微软雅黑"/>
                <w:color w:val="263238"/>
                <w:sz w:val="14"/>
              </w:rPr>
              <w:t>贵阳</w:t>
            </w:r>
          </w:p>
        </w:tc>
        <w:tc>
          <w:tcPr>
            <w:tcW w:w="567" w:type="dxa"/>
            <w:vAlign w:val="center"/>
          </w:tcPr>
          <w:p w14:paraId="6A143763">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249DD105">
            <w:pPr>
              <w:spacing w:before="0" w:after="0" w:line="269" w:lineRule="auto"/>
              <w:jc w:val="center"/>
            </w:pPr>
            <w:r>
              <w:rPr>
                <w:rFonts w:ascii="微软雅黑" w:hAnsi="微软雅黑" w:eastAsia="微软雅黑"/>
                <w:color w:val="263238"/>
                <w:sz w:val="14"/>
              </w:rPr>
              <w:t>6（30.0%）</w:t>
            </w:r>
          </w:p>
        </w:tc>
        <w:tc>
          <w:tcPr>
            <w:tcW w:w="1531" w:type="dxa"/>
            <w:vAlign w:val="center"/>
          </w:tcPr>
          <w:p w14:paraId="5568708D">
            <w:pPr>
              <w:spacing w:before="0" w:after="0" w:line="269" w:lineRule="auto"/>
              <w:jc w:val="center"/>
            </w:pPr>
            <w:r>
              <w:rPr>
                <w:rFonts w:ascii="微软雅黑" w:hAnsi="微软雅黑" w:eastAsia="微软雅黑"/>
                <w:color w:val="263238"/>
                <w:sz w:val="14"/>
              </w:rPr>
              <w:t>0（0.0%）</w:t>
            </w:r>
          </w:p>
        </w:tc>
        <w:tc>
          <w:tcPr>
            <w:tcW w:w="1757" w:type="dxa"/>
            <w:vAlign w:val="center"/>
          </w:tcPr>
          <w:p w14:paraId="22B2B2DB">
            <w:pPr>
              <w:spacing w:before="0" w:after="0" w:line="269" w:lineRule="auto"/>
              <w:jc w:val="center"/>
            </w:pPr>
            <w:r>
              <w:rPr>
                <w:rFonts w:ascii="微软雅黑" w:hAnsi="微软雅黑" w:eastAsia="微软雅黑"/>
                <w:color w:val="263238"/>
                <w:sz w:val="14"/>
              </w:rPr>
              <w:t>12（60.0%）</w:t>
            </w:r>
          </w:p>
        </w:tc>
        <w:tc>
          <w:tcPr>
            <w:tcW w:w="1871" w:type="dxa"/>
            <w:vAlign w:val="center"/>
          </w:tcPr>
          <w:p w14:paraId="3C844909">
            <w:pPr>
              <w:spacing w:before="0" w:after="0" w:line="269" w:lineRule="auto"/>
              <w:jc w:val="center"/>
            </w:pPr>
            <w:r>
              <w:rPr>
                <w:rFonts w:ascii="微软雅黑" w:hAnsi="微软雅黑" w:eastAsia="微软雅黑"/>
                <w:color w:val="263238"/>
                <w:sz w:val="14"/>
              </w:rPr>
              <w:t>8（40.0%）</w:t>
            </w:r>
          </w:p>
        </w:tc>
      </w:tr>
      <w:tr w14:paraId="70C77760">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2E7FA800">
            <w:pPr>
              <w:spacing w:before="0" w:after="0" w:line="269" w:lineRule="auto"/>
              <w:jc w:val="center"/>
            </w:pPr>
            <w:r>
              <w:rPr>
                <w:rFonts w:ascii="微软雅黑" w:hAnsi="微软雅黑" w:eastAsia="微软雅黑"/>
                <w:color w:val="263238"/>
                <w:sz w:val="14"/>
              </w:rPr>
              <w:t>郑州</w:t>
            </w:r>
          </w:p>
        </w:tc>
        <w:tc>
          <w:tcPr>
            <w:tcW w:w="567" w:type="dxa"/>
            <w:vAlign w:val="center"/>
          </w:tcPr>
          <w:p w14:paraId="725CE522">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70CF4116">
            <w:pPr>
              <w:spacing w:before="0" w:after="0" w:line="269" w:lineRule="auto"/>
              <w:jc w:val="center"/>
            </w:pPr>
            <w:r>
              <w:rPr>
                <w:rFonts w:ascii="微软雅黑" w:hAnsi="微软雅黑" w:eastAsia="微软雅黑"/>
                <w:color w:val="263238"/>
                <w:sz w:val="14"/>
              </w:rPr>
              <w:t>6（30.0%）</w:t>
            </w:r>
          </w:p>
        </w:tc>
        <w:tc>
          <w:tcPr>
            <w:tcW w:w="1531" w:type="dxa"/>
            <w:vAlign w:val="center"/>
          </w:tcPr>
          <w:p w14:paraId="5A00CD05">
            <w:pPr>
              <w:spacing w:before="0" w:after="0" w:line="269" w:lineRule="auto"/>
              <w:jc w:val="center"/>
            </w:pPr>
            <w:r>
              <w:rPr>
                <w:rFonts w:ascii="微软雅黑" w:hAnsi="微软雅黑" w:eastAsia="微软雅黑"/>
                <w:color w:val="263238"/>
                <w:sz w:val="14"/>
              </w:rPr>
              <w:t>8（40.0%）</w:t>
            </w:r>
          </w:p>
        </w:tc>
        <w:tc>
          <w:tcPr>
            <w:tcW w:w="1757" w:type="dxa"/>
            <w:vAlign w:val="center"/>
          </w:tcPr>
          <w:p w14:paraId="6BC62589">
            <w:pPr>
              <w:spacing w:before="0" w:after="0" w:line="269" w:lineRule="auto"/>
              <w:jc w:val="center"/>
            </w:pPr>
            <w:r>
              <w:rPr>
                <w:rFonts w:ascii="微软雅黑" w:hAnsi="微软雅黑" w:eastAsia="微软雅黑"/>
                <w:color w:val="263238"/>
                <w:sz w:val="14"/>
              </w:rPr>
              <w:t>7（35.0%）</w:t>
            </w:r>
          </w:p>
        </w:tc>
        <w:tc>
          <w:tcPr>
            <w:tcW w:w="1871" w:type="dxa"/>
            <w:vAlign w:val="center"/>
          </w:tcPr>
          <w:p w14:paraId="2B9AE81D">
            <w:pPr>
              <w:spacing w:before="0" w:after="0" w:line="269" w:lineRule="auto"/>
              <w:jc w:val="center"/>
            </w:pPr>
            <w:r>
              <w:rPr>
                <w:rFonts w:ascii="微软雅黑" w:hAnsi="微软雅黑" w:eastAsia="微软雅黑"/>
                <w:color w:val="263238"/>
                <w:sz w:val="14"/>
              </w:rPr>
              <w:t>3（15.0%）</w:t>
            </w:r>
          </w:p>
        </w:tc>
      </w:tr>
      <w:tr w14:paraId="0F6A582C">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2F3B8BB9">
            <w:pPr>
              <w:spacing w:before="0" w:after="0" w:line="269" w:lineRule="auto"/>
              <w:jc w:val="center"/>
            </w:pPr>
            <w:r>
              <w:rPr>
                <w:rFonts w:ascii="微软雅黑" w:hAnsi="微软雅黑" w:eastAsia="微软雅黑"/>
                <w:color w:val="263238"/>
                <w:sz w:val="14"/>
              </w:rPr>
              <w:t>天津</w:t>
            </w:r>
          </w:p>
        </w:tc>
        <w:tc>
          <w:tcPr>
            <w:tcW w:w="567" w:type="dxa"/>
            <w:vAlign w:val="center"/>
          </w:tcPr>
          <w:p w14:paraId="1A6BF6C6">
            <w:pPr>
              <w:spacing w:before="0" w:after="0" w:line="269" w:lineRule="auto"/>
              <w:ind w:firstLine="0"/>
              <w:jc w:val="center"/>
            </w:pPr>
            <w:r>
              <w:rPr>
                <w:rFonts w:ascii="微软雅黑" w:hAnsi="微软雅黑" w:eastAsia="微软雅黑"/>
                <w:color w:val="263238"/>
                <w:sz w:val="14"/>
              </w:rPr>
              <w:t>18</w:t>
            </w:r>
          </w:p>
        </w:tc>
        <w:tc>
          <w:tcPr>
            <w:tcW w:w="1531" w:type="dxa"/>
            <w:vAlign w:val="center"/>
          </w:tcPr>
          <w:p w14:paraId="3AE6D71B">
            <w:pPr>
              <w:spacing w:before="0" w:after="0" w:line="269" w:lineRule="auto"/>
              <w:jc w:val="center"/>
            </w:pPr>
            <w:r>
              <w:rPr>
                <w:rFonts w:ascii="微软雅黑" w:hAnsi="微软雅黑" w:eastAsia="微软雅黑"/>
                <w:color w:val="263238"/>
                <w:sz w:val="14"/>
              </w:rPr>
              <w:t>5（27.8%）</w:t>
            </w:r>
          </w:p>
        </w:tc>
        <w:tc>
          <w:tcPr>
            <w:tcW w:w="1531" w:type="dxa"/>
            <w:vAlign w:val="center"/>
          </w:tcPr>
          <w:p w14:paraId="44D70418">
            <w:pPr>
              <w:spacing w:before="0" w:after="0" w:line="269" w:lineRule="auto"/>
              <w:jc w:val="center"/>
            </w:pPr>
            <w:r>
              <w:rPr>
                <w:rFonts w:ascii="微软雅黑" w:hAnsi="微软雅黑" w:eastAsia="微软雅黑"/>
                <w:color w:val="263238"/>
                <w:sz w:val="14"/>
              </w:rPr>
              <w:t>6（33.3%）</w:t>
            </w:r>
          </w:p>
        </w:tc>
        <w:tc>
          <w:tcPr>
            <w:tcW w:w="1757" w:type="dxa"/>
            <w:vAlign w:val="center"/>
          </w:tcPr>
          <w:p w14:paraId="07C4EC08">
            <w:pPr>
              <w:spacing w:before="0" w:after="0" w:line="269" w:lineRule="auto"/>
              <w:jc w:val="center"/>
            </w:pPr>
            <w:r>
              <w:rPr>
                <w:rFonts w:ascii="微软雅黑" w:hAnsi="微软雅黑" w:eastAsia="微软雅黑"/>
                <w:color w:val="263238"/>
                <w:sz w:val="14"/>
              </w:rPr>
              <w:t>10（55.6%）</w:t>
            </w:r>
          </w:p>
        </w:tc>
        <w:tc>
          <w:tcPr>
            <w:tcW w:w="1871" w:type="dxa"/>
            <w:vAlign w:val="center"/>
          </w:tcPr>
          <w:p w14:paraId="289FA42F">
            <w:pPr>
              <w:spacing w:before="0" w:after="0" w:line="269" w:lineRule="auto"/>
              <w:jc w:val="center"/>
            </w:pPr>
            <w:r>
              <w:rPr>
                <w:rFonts w:ascii="微软雅黑" w:hAnsi="微软雅黑" w:eastAsia="微软雅黑"/>
                <w:color w:val="263238"/>
                <w:sz w:val="14"/>
              </w:rPr>
              <w:t>0（0.0%）</w:t>
            </w:r>
          </w:p>
        </w:tc>
      </w:tr>
      <w:tr w14:paraId="463A1F34">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7DC55331">
            <w:pPr>
              <w:spacing w:before="0" w:after="0" w:line="269" w:lineRule="auto"/>
              <w:jc w:val="center"/>
            </w:pPr>
            <w:r>
              <w:rPr>
                <w:rFonts w:ascii="微软雅黑" w:hAnsi="微软雅黑" w:eastAsia="微软雅黑"/>
                <w:color w:val="263238"/>
                <w:sz w:val="14"/>
              </w:rPr>
              <w:t>杭州</w:t>
            </w:r>
          </w:p>
        </w:tc>
        <w:tc>
          <w:tcPr>
            <w:tcW w:w="567" w:type="dxa"/>
            <w:vAlign w:val="center"/>
          </w:tcPr>
          <w:p w14:paraId="16157C62">
            <w:pPr>
              <w:spacing w:before="0" w:after="0" w:line="269" w:lineRule="auto"/>
              <w:ind w:firstLine="0"/>
              <w:jc w:val="center"/>
            </w:pPr>
            <w:r>
              <w:rPr>
                <w:rFonts w:ascii="微软雅黑" w:hAnsi="微软雅黑" w:eastAsia="微软雅黑"/>
                <w:color w:val="263238"/>
                <w:sz w:val="14"/>
              </w:rPr>
              <w:t>20</w:t>
            </w:r>
          </w:p>
        </w:tc>
        <w:tc>
          <w:tcPr>
            <w:tcW w:w="1531" w:type="dxa"/>
            <w:vAlign w:val="center"/>
          </w:tcPr>
          <w:p w14:paraId="51517F90">
            <w:pPr>
              <w:spacing w:before="0" w:after="0" w:line="269" w:lineRule="auto"/>
              <w:jc w:val="center"/>
            </w:pPr>
            <w:r>
              <w:rPr>
                <w:rFonts w:ascii="微软雅黑" w:hAnsi="微软雅黑" w:eastAsia="微软雅黑"/>
                <w:color w:val="263238"/>
                <w:sz w:val="14"/>
              </w:rPr>
              <w:t>5（25.0%）</w:t>
            </w:r>
          </w:p>
        </w:tc>
        <w:tc>
          <w:tcPr>
            <w:tcW w:w="1531" w:type="dxa"/>
            <w:vAlign w:val="center"/>
          </w:tcPr>
          <w:p w14:paraId="3E97877C">
            <w:pPr>
              <w:spacing w:before="0" w:after="0" w:line="269" w:lineRule="auto"/>
              <w:jc w:val="center"/>
            </w:pPr>
            <w:r>
              <w:rPr>
                <w:rFonts w:ascii="微软雅黑" w:hAnsi="微软雅黑" w:eastAsia="微软雅黑"/>
                <w:color w:val="263238"/>
                <w:sz w:val="14"/>
              </w:rPr>
              <w:t>8（40.0%）</w:t>
            </w:r>
          </w:p>
        </w:tc>
        <w:tc>
          <w:tcPr>
            <w:tcW w:w="1757" w:type="dxa"/>
            <w:vAlign w:val="center"/>
          </w:tcPr>
          <w:p w14:paraId="56358786">
            <w:pPr>
              <w:spacing w:before="0" w:after="0" w:line="269" w:lineRule="auto"/>
              <w:jc w:val="center"/>
            </w:pPr>
            <w:r>
              <w:rPr>
                <w:rFonts w:ascii="微软雅黑" w:hAnsi="微软雅黑" w:eastAsia="微软雅黑"/>
                <w:color w:val="263238"/>
                <w:sz w:val="14"/>
              </w:rPr>
              <w:t>9（45.0%）</w:t>
            </w:r>
          </w:p>
        </w:tc>
        <w:tc>
          <w:tcPr>
            <w:tcW w:w="1871" w:type="dxa"/>
            <w:vAlign w:val="center"/>
          </w:tcPr>
          <w:p w14:paraId="5E9CF399">
            <w:pPr>
              <w:spacing w:before="0" w:after="0" w:line="269" w:lineRule="auto"/>
              <w:jc w:val="center"/>
            </w:pPr>
            <w:r>
              <w:rPr>
                <w:rFonts w:ascii="微软雅黑" w:hAnsi="微软雅黑" w:eastAsia="微软雅黑"/>
                <w:color w:val="263238"/>
                <w:sz w:val="14"/>
              </w:rPr>
              <w:t>1（5.0%）</w:t>
            </w:r>
          </w:p>
        </w:tc>
      </w:tr>
      <w:tr w14:paraId="36DDFF0B">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3ECBF9F0">
            <w:pPr>
              <w:spacing w:before="0" w:after="0" w:line="269" w:lineRule="auto"/>
              <w:jc w:val="center"/>
            </w:pPr>
            <w:r>
              <w:rPr>
                <w:rFonts w:ascii="微软雅黑" w:hAnsi="微软雅黑" w:eastAsia="微软雅黑"/>
                <w:color w:val="263238"/>
                <w:sz w:val="14"/>
              </w:rPr>
              <w:t>秦皇岛</w:t>
            </w:r>
          </w:p>
        </w:tc>
        <w:tc>
          <w:tcPr>
            <w:tcW w:w="567" w:type="dxa"/>
            <w:vAlign w:val="center"/>
          </w:tcPr>
          <w:p w14:paraId="3240432E">
            <w:pPr>
              <w:spacing w:before="0" w:after="0" w:line="269" w:lineRule="auto"/>
              <w:ind w:firstLine="0"/>
              <w:jc w:val="center"/>
            </w:pPr>
            <w:r>
              <w:rPr>
                <w:rFonts w:ascii="微软雅黑" w:hAnsi="微软雅黑" w:eastAsia="微软雅黑"/>
                <w:color w:val="263238"/>
                <w:sz w:val="14"/>
              </w:rPr>
              <w:t>16</w:t>
            </w:r>
          </w:p>
        </w:tc>
        <w:tc>
          <w:tcPr>
            <w:tcW w:w="1531" w:type="dxa"/>
            <w:vAlign w:val="center"/>
          </w:tcPr>
          <w:p w14:paraId="665E1121">
            <w:pPr>
              <w:spacing w:before="0" w:after="0" w:line="269" w:lineRule="auto"/>
              <w:jc w:val="center"/>
            </w:pPr>
            <w:r>
              <w:rPr>
                <w:rFonts w:ascii="微软雅黑" w:hAnsi="微软雅黑" w:eastAsia="微软雅黑"/>
                <w:color w:val="263238"/>
                <w:sz w:val="14"/>
              </w:rPr>
              <w:t>4（25.0%）</w:t>
            </w:r>
          </w:p>
        </w:tc>
        <w:tc>
          <w:tcPr>
            <w:tcW w:w="1531" w:type="dxa"/>
            <w:vAlign w:val="center"/>
          </w:tcPr>
          <w:p w14:paraId="41C3FB86">
            <w:pPr>
              <w:spacing w:before="0" w:after="0" w:line="269" w:lineRule="auto"/>
              <w:jc w:val="center"/>
            </w:pPr>
            <w:r>
              <w:rPr>
                <w:rFonts w:ascii="微软雅黑" w:hAnsi="微软雅黑" w:eastAsia="微软雅黑"/>
                <w:color w:val="263238"/>
                <w:sz w:val="14"/>
              </w:rPr>
              <w:t>8（50.0%）</w:t>
            </w:r>
          </w:p>
        </w:tc>
        <w:tc>
          <w:tcPr>
            <w:tcW w:w="1757" w:type="dxa"/>
            <w:vAlign w:val="center"/>
          </w:tcPr>
          <w:p w14:paraId="16952A09">
            <w:pPr>
              <w:spacing w:before="0" w:after="0" w:line="269" w:lineRule="auto"/>
              <w:jc w:val="center"/>
            </w:pPr>
            <w:r>
              <w:rPr>
                <w:rFonts w:ascii="微软雅黑" w:hAnsi="微软雅黑" w:eastAsia="微软雅黑"/>
                <w:color w:val="263238"/>
                <w:sz w:val="14"/>
              </w:rPr>
              <w:t>4（25.0%）</w:t>
            </w:r>
          </w:p>
        </w:tc>
        <w:tc>
          <w:tcPr>
            <w:tcW w:w="1871" w:type="dxa"/>
            <w:vAlign w:val="center"/>
          </w:tcPr>
          <w:p w14:paraId="737A5363">
            <w:pPr>
              <w:spacing w:before="0" w:after="0" w:line="269" w:lineRule="auto"/>
              <w:jc w:val="center"/>
            </w:pPr>
            <w:r>
              <w:rPr>
                <w:rFonts w:ascii="微软雅黑" w:hAnsi="微软雅黑" w:eastAsia="微软雅黑"/>
                <w:color w:val="263238"/>
                <w:sz w:val="14"/>
              </w:rPr>
              <w:t>0（0.0%）</w:t>
            </w:r>
          </w:p>
        </w:tc>
      </w:tr>
      <w:tr w14:paraId="358FC8C0">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7D8E090E">
            <w:pPr>
              <w:spacing w:before="0" w:after="0" w:line="269" w:lineRule="auto"/>
              <w:jc w:val="center"/>
            </w:pPr>
            <w:r>
              <w:rPr>
                <w:rFonts w:ascii="微软雅黑" w:hAnsi="微软雅黑" w:eastAsia="微软雅黑"/>
                <w:color w:val="263238"/>
                <w:sz w:val="14"/>
              </w:rPr>
              <w:t>厦门</w:t>
            </w:r>
          </w:p>
        </w:tc>
        <w:tc>
          <w:tcPr>
            <w:tcW w:w="567" w:type="dxa"/>
            <w:vAlign w:val="center"/>
          </w:tcPr>
          <w:p w14:paraId="4CFE69E7">
            <w:pPr>
              <w:spacing w:before="0" w:after="0" w:line="269" w:lineRule="auto"/>
              <w:ind w:firstLine="0"/>
              <w:jc w:val="center"/>
            </w:pPr>
            <w:r>
              <w:rPr>
                <w:rFonts w:ascii="微软雅黑" w:hAnsi="微软雅黑" w:eastAsia="微软雅黑"/>
                <w:color w:val="263238"/>
                <w:sz w:val="14"/>
              </w:rPr>
              <w:t>17</w:t>
            </w:r>
          </w:p>
        </w:tc>
        <w:tc>
          <w:tcPr>
            <w:tcW w:w="1531" w:type="dxa"/>
            <w:vAlign w:val="center"/>
          </w:tcPr>
          <w:p w14:paraId="57319AA8">
            <w:pPr>
              <w:spacing w:before="0" w:after="0" w:line="269" w:lineRule="auto"/>
              <w:jc w:val="center"/>
            </w:pPr>
            <w:r>
              <w:rPr>
                <w:rFonts w:ascii="微软雅黑" w:hAnsi="微软雅黑" w:eastAsia="微软雅黑"/>
                <w:color w:val="263238"/>
                <w:sz w:val="14"/>
              </w:rPr>
              <w:t>4（23.5%）</w:t>
            </w:r>
          </w:p>
        </w:tc>
        <w:tc>
          <w:tcPr>
            <w:tcW w:w="1531" w:type="dxa"/>
            <w:vAlign w:val="center"/>
          </w:tcPr>
          <w:p w14:paraId="250713C6">
            <w:pPr>
              <w:spacing w:before="0" w:after="0" w:line="269" w:lineRule="auto"/>
              <w:jc w:val="center"/>
            </w:pPr>
            <w:r>
              <w:rPr>
                <w:rFonts w:ascii="微软雅黑" w:hAnsi="微软雅黑" w:eastAsia="微软雅黑"/>
                <w:color w:val="263238"/>
                <w:sz w:val="14"/>
              </w:rPr>
              <w:t>2（11.8%）</w:t>
            </w:r>
          </w:p>
        </w:tc>
        <w:tc>
          <w:tcPr>
            <w:tcW w:w="1757" w:type="dxa"/>
            <w:vAlign w:val="center"/>
          </w:tcPr>
          <w:p w14:paraId="1B8E4642">
            <w:pPr>
              <w:spacing w:before="0" w:after="0" w:line="269" w:lineRule="auto"/>
              <w:jc w:val="center"/>
            </w:pPr>
            <w:r>
              <w:rPr>
                <w:rFonts w:ascii="微软雅黑" w:hAnsi="微软雅黑" w:eastAsia="微软雅黑"/>
                <w:color w:val="263238"/>
                <w:sz w:val="14"/>
              </w:rPr>
              <w:t>8（47.1%）</w:t>
            </w:r>
          </w:p>
        </w:tc>
        <w:tc>
          <w:tcPr>
            <w:tcW w:w="1871" w:type="dxa"/>
            <w:vAlign w:val="center"/>
          </w:tcPr>
          <w:p w14:paraId="3C2A15B6">
            <w:pPr>
              <w:spacing w:before="0" w:after="0" w:line="269" w:lineRule="auto"/>
              <w:jc w:val="center"/>
            </w:pPr>
            <w:r>
              <w:rPr>
                <w:rFonts w:ascii="微软雅黑" w:hAnsi="微软雅黑" w:eastAsia="微软雅黑"/>
                <w:color w:val="263238"/>
                <w:sz w:val="14"/>
              </w:rPr>
              <w:t>4（23.5%）</w:t>
            </w:r>
          </w:p>
        </w:tc>
      </w:tr>
      <w:tr w14:paraId="512A9C3F">
        <w:tblPrEx>
          <w:tblBorders>
            <w:top w:val="single" w:color="D9E1E5" w:sz="4" w:space="0"/>
            <w:left w:val="single" w:color="D9E1E5" w:sz="4" w:space="0"/>
            <w:bottom w:val="single" w:color="D9E1E5" w:sz="4" w:space="0"/>
            <w:right w:val="single" w:color="D9E1E5" w:sz="4" w:space="0"/>
            <w:insideH w:val="single" w:color="D9E1E5" w:sz="4" w:space="0"/>
            <w:insideV w:val="single" w:color="D9E1E5" w:sz="4" w:space="0"/>
          </w:tblBorders>
          <w:tblCellMar>
            <w:top w:w="0" w:type="dxa"/>
            <w:left w:w="108" w:type="dxa"/>
            <w:bottom w:w="0" w:type="dxa"/>
            <w:right w:w="108" w:type="dxa"/>
          </w:tblCellMar>
        </w:tblPrEx>
        <w:trPr>
          <w:cantSplit/>
          <w:jc w:val="center"/>
        </w:trPr>
        <w:tc>
          <w:tcPr>
            <w:tcW w:w="1134" w:type="dxa"/>
            <w:vAlign w:val="center"/>
          </w:tcPr>
          <w:p w14:paraId="68153B39">
            <w:pPr>
              <w:spacing w:before="0" w:after="0" w:line="269" w:lineRule="auto"/>
              <w:jc w:val="center"/>
            </w:pPr>
            <w:r>
              <w:rPr>
                <w:rFonts w:ascii="微软雅黑" w:hAnsi="微软雅黑" w:eastAsia="微软雅黑"/>
                <w:color w:val="263238"/>
                <w:sz w:val="14"/>
              </w:rPr>
              <w:t>北京</w:t>
            </w:r>
          </w:p>
        </w:tc>
        <w:tc>
          <w:tcPr>
            <w:tcW w:w="567" w:type="dxa"/>
            <w:vAlign w:val="center"/>
          </w:tcPr>
          <w:p w14:paraId="118DF2DF">
            <w:pPr>
              <w:spacing w:before="0" w:after="0" w:line="269" w:lineRule="auto"/>
              <w:ind w:firstLine="0"/>
              <w:jc w:val="center"/>
            </w:pPr>
            <w:r>
              <w:rPr>
                <w:rFonts w:ascii="微软雅黑" w:hAnsi="微软雅黑" w:eastAsia="微软雅黑"/>
                <w:color w:val="263238"/>
                <w:sz w:val="14"/>
              </w:rPr>
              <w:t>19</w:t>
            </w:r>
          </w:p>
        </w:tc>
        <w:tc>
          <w:tcPr>
            <w:tcW w:w="1531" w:type="dxa"/>
            <w:vAlign w:val="center"/>
          </w:tcPr>
          <w:p w14:paraId="0DAAFD7A">
            <w:pPr>
              <w:spacing w:before="0" w:after="0" w:line="269" w:lineRule="auto"/>
              <w:jc w:val="center"/>
            </w:pPr>
            <w:r>
              <w:rPr>
                <w:rFonts w:ascii="微软雅黑" w:hAnsi="微软雅黑" w:eastAsia="微软雅黑"/>
                <w:color w:val="263238"/>
                <w:sz w:val="14"/>
              </w:rPr>
              <w:t>2（10.5%）</w:t>
            </w:r>
          </w:p>
        </w:tc>
        <w:tc>
          <w:tcPr>
            <w:tcW w:w="1531" w:type="dxa"/>
            <w:vAlign w:val="center"/>
          </w:tcPr>
          <w:p w14:paraId="73CAE817">
            <w:pPr>
              <w:spacing w:before="0" w:after="0" w:line="269" w:lineRule="auto"/>
              <w:jc w:val="center"/>
            </w:pPr>
            <w:r>
              <w:rPr>
                <w:rFonts w:ascii="微软雅黑" w:hAnsi="微软雅黑" w:eastAsia="微软雅黑"/>
                <w:color w:val="263238"/>
                <w:sz w:val="14"/>
              </w:rPr>
              <w:t>10（52.6%）</w:t>
            </w:r>
          </w:p>
        </w:tc>
        <w:tc>
          <w:tcPr>
            <w:tcW w:w="1757" w:type="dxa"/>
            <w:vAlign w:val="center"/>
          </w:tcPr>
          <w:p w14:paraId="4A36B217">
            <w:pPr>
              <w:spacing w:before="0" w:after="0" w:line="269" w:lineRule="auto"/>
              <w:jc w:val="center"/>
            </w:pPr>
            <w:r>
              <w:rPr>
                <w:rFonts w:ascii="微软雅黑" w:hAnsi="微软雅黑" w:eastAsia="微软雅黑"/>
                <w:color w:val="263238"/>
                <w:sz w:val="14"/>
              </w:rPr>
              <w:t>12（63.2%）</w:t>
            </w:r>
          </w:p>
        </w:tc>
        <w:tc>
          <w:tcPr>
            <w:tcW w:w="1871" w:type="dxa"/>
            <w:vAlign w:val="center"/>
          </w:tcPr>
          <w:p w14:paraId="2F5B0063">
            <w:pPr>
              <w:spacing w:before="0" w:after="0" w:line="269" w:lineRule="auto"/>
              <w:jc w:val="center"/>
            </w:pPr>
            <w:r>
              <w:rPr>
                <w:rFonts w:ascii="微软雅黑" w:hAnsi="微软雅黑" w:eastAsia="微软雅黑"/>
                <w:color w:val="263238"/>
                <w:sz w:val="14"/>
              </w:rPr>
              <w:t>0（0.0%）</w:t>
            </w:r>
          </w:p>
        </w:tc>
      </w:tr>
    </w:tbl>
    <w:p w14:paraId="6AB90542">
      <w:pPr>
        <w:pStyle w:val="174"/>
      </w:pPr>
      <w:r>
        <w:t>注：直接同意、最终拒绝和2次及以上独立通话根据原始工作簿复核；附带条件接纳采用经人工复核的86家编码。附带条件以全部有效门店n为分母。</w:t>
      </w:r>
    </w:p>
    <w:p w14:paraId="570BB627">
      <w:pPr>
        <w:pStyle w:val="5"/>
      </w:pPr>
      <w:r>
        <w:t>（一）三至四次独立通话样本</w:t>
      </w:r>
    </w:p>
    <w:p w14:paraId="7757D5B3">
      <w:r>
        <w:t>总体上，27家门店需要3次独立通话，5家需要4次。进一步拆分首次未能直接形成结果的相关样本：城市便捷和维也纳需要3次通话的比例分别为23.5%和21.7%；锦江之星有8.7%的相关样本进入4次通话。</w:t>
      </w:r>
    </w:p>
    <w:p w14:paraId="7FAE2491">
      <w:r>
        <w:t>城市样本中，桂林、嘉兴、武汉和深圳需要3次通话的比例分别为50.0%、40.0%、28.6%和25.0%；昆明、三亚、厦门和贵阳出现4次通话样本，其中厦门和三亚的比例分别为15.4%和14.3%。以上细分比例以首次未能直接形成结果的相关样本为分母，不与附表1中以全部有效门店为分母的“2次及以上”比例直接比较。</w:t>
      </w:r>
    </w:p>
    <w:p w14:paraId="0F4B338B">
      <w:pPr>
        <w:pStyle w:val="4"/>
        <w:pageBreakBefore/>
      </w:pPr>
      <w:bookmarkStart w:id="67" w:name="_Toc239432632"/>
      <w:bookmarkStart w:id="68" w:name="_Toc240635853"/>
      <w:r>
        <w:t>五 公众遇拒行动卡</w:t>
      </w:r>
      <w:bookmarkEnd w:id="67"/>
      <w:bookmarkEnd w:id="68"/>
    </w:p>
    <w:p w14:paraId="53051EEE">
      <w:r>
        <w:t>公众遇拒行动卡面向导盲犬使用者及同行者，帮助其尽快获得明确答复，并为后续协调保留必要信息，避免承担不必要的自证负担。</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0"/>
        <w:gridCol w:w="4535"/>
        <w:gridCol w:w="2721"/>
      </w:tblGrid>
      <w:tr w14:paraId="27EEE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020" w:type="dxa"/>
            <w:shd w:val="clear" w:color="auto" w:fill="DDEBF7"/>
            <w:tcMar>
              <w:top w:w="90" w:type="dxa"/>
              <w:left w:w="110" w:type="dxa"/>
              <w:bottom w:w="90" w:type="dxa"/>
              <w:right w:w="110" w:type="dxa"/>
            </w:tcMar>
            <w:vAlign w:val="center"/>
          </w:tcPr>
          <w:p w14:paraId="06807C96">
            <w:pPr>
              <w:keepNext/>
              <w:spacing w:before="0" w:after="0" w:line="269" w:lineRule="auto"/>
            </w:pPr>
            <w:r>
              <w:rPr>
                <w:b/>
                <w:color w:val="17365D"/>
                <w:sz w:val="16"/>
              </w:rPr>
              <w:t>步骤</w:t>
            </w:r>
          </w:p>
        </w:tc>
        <w:tc>
          <w:tcPr>
            <w:tcW w:w="4535" w:type="dxa"/>
            <w:shd w:val="clear" w:color="auto" w:fill="DDEBF7"/>
            <w:tcMar>
              <w:top w:w="90" w:type="dxa"/>
              <w:left w:w="110" w:type="dxa"/>
              <w:bottom w:w="90" w:type="dxa"/>
              <w:right w:w="110" w:type="dxa"/>
            </w:tcMar>
            <w:vAlign w:val="center"/>
          </w:tcPr>
          <w:p w14:paraId="0A383E18">
            <w:pPr>
              <w:keepNext/>
              <w:spacing w:before="0" w:after="0" w:line="269" w:lineRule="auto"/>
            </w:pPr>
            <w:r>
              <w:rPr>
                <w:b/>
                <w:color w:val="17365D"/>
                <w:sz w:val="16"/>
              </w:rPr>
              <w:t>可以怎么做</w:t>
            </w:r>
          </w:p>
        </w:tc>
        <w:tc>
          <w:tcPr>
            <w:tcW w:w="2721" w:type="dxa"/>
            <w:shd w:val="clear" w:color="auto" w:fill="DDEBF7"/>
            <w:tcMar>
              <w:top w:w="90" w:type="dxa"/>
              <w:left w:w="110" w:type="dxa"/>
              <w:bottom w:w="90" w:type="dxa"/>
              <w:right w:w="110" w:type="dxa"/>
            </w:tcMar>
            <w:vAlign w:val="center"/>
          </w:tcPr>
          <w:p w14:paraId="2AB2C9A7">
            <w:pPr>
              <w:keepNext/>
              <w:spacing w:before="0" w:after="0" w:line="269" w:lineRule="auto"/>
            </w:pPr>
            <w:r>
              <w:rPr>
                <w:b/>
                <w:color w:val="17365D"/>
                <w:sz w:val="16"/>
              </w:rPr>
              <w:t>建议保留的信息</w:t>
            </w:r>
          </w:p>
        </w:tc>
      </w:tr>
      <w:tr w14:paraId="09B77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Mar>
              <w:top w:w="90" w:type="dxa"/>
              <w:left w:w="110" w:type="dxa"/>
              <w:bottom w:w="90" w:type="dxa"/>
              <w:right w:w="110" w:type="dxa"/>
            </w:tcMar>
            <w:vAlign w:val="center"/>
          </w:tcPr>
          <w:p w14:paraId="135D5899">
            <w:pPr>
              <w:spacing w:before="0" w:after="0" w:line="269" w:lineRule="auto"/>
            </w:pPr>
            <w:r>
              <w:rPr>
                <w:sz w:val="16"/>
              </w:rPr>
              <w:t>1预订前</w:t>
            </w:r>
          </w:p>
        </w:tc>
        <w:tc>
          <w:tcPr>
            <w:tcW w:w="4535" w:type="dxa"/>
            <w:tcMar>
              <w:top w:w="90" w:type="dxa"/>
              <w:left w:w="110" w:type="dxa"/>
              <w:bottom w:w="90" w:type="dxa"/>
              <w:right w:w="110" w:type="dxa"/>
            </w:tcMar>
            <w:vAlign w:val="center"/>
          </w:tcPr>
          <w:p w14:paraId="7F1CAF75">
            <w:pPr>
              <w:spacing w:before="0" w:after="0" w:line="269" w:lineRule="auto"/>
            </w:pPr>
            <w:r>
              <w:rPr>
                <w:sz w:val="16"/>
              </w:rPr>
              <w:t>查看官网和预订平台的服务犬说明；直接询问能否入住、需要核验什么、是否额外收费、公共区域是否有限制。</w:t>
            </w:r>
          </w:p>
        </w:tc>
        <w:tc>
          <w:tcPr>
            <w:tcW w:w="2721" w:type="dxa"/>
            <w:tcMar>
              <w:top w:w="90" w:type="dxa"/>
              <w:left w:w="110" w:type="dxa"/>
              <w:bottom w:w="90" w:type="dxa"/>
              <w:right w:w="110" w:type="dxa"/>
            </w:tcMar>
            <w:vAlign w:val="center"/>
          </w:tcPr>
          <w:p w14:paraId="0A841F75">
            <w:pPr>
              <w:spacing w:before="0" w:after="0" w:line="269" w:lineRule="auto"/>
            </w:pPr>
            <w:r>
              <w:rPr>
                <w:sz w:val="16"/>
              </w:rPr>
              <w:t>页面截图、门店名称、咨询时间。</w:t>
            </w:r>
          </w:p>
        </w:tc>
      </w:tr>
      <w:tr w14:paraId="12A270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shd w:val="clear" w:color="auto" w:fill="F3F7FA"/>
            <w:tcMar>
              <w:top w:w="90" w:type="dxa"/>
              <w:left w:w="110" w:type="dxa"/>
              <w:bottom w:w="90" w:type="dxa"/>
              <w:right w:w="110" w:type="dxa"/>
            </w:tcMar>
            <w:vAlign w:val="center"/>
          </w:tcPr>
          <w:p w14:paraId="5ED17D64">
            <w:pPr>
              <w:spacing w:before="0" w:after="0" w:line="269" w:lineRule="auto"/>
            </w:pPr>
            <w:r>
              <w:rPr>
                <w:sz w:val="16"/>
              </w:rPr>
              <w:t>2答复不清</w:t>
            </w:r>
          </w:p>
        </w:tc>
        <w:tc>
          <w:tcPr>
            <w:tcW w:w="4535" w:type="dxa"/>
            <w:shd w:val="clear" w:color="auto" w:fill="F3F7FA"/>
            <w:tcMar>
              <w:top w:w="90" w:type="dxa"/>
              <w:left w:w="110" w:type="dxa"/>
              <w:bottom w:w="90" w:type="dxa"/>
              <w:right w:w="110" w:type="dxa"/>
            </w:tcMar>
            <w:vAlign w:val="center"/>
          </w:tcPr>
          <w:p w14:paraId="25C4422B">
            <w:pPr>
              <w:spacing w:before="0" w:after="0" w:line="269" w:lineRule="auto"/>
            </w:pPr>
            <w:r>
              <w:rPr>
                <w:sz w:val="16"/>
              </w:rPr>
              <w:t>请首次接听人员查阅集团或门店规则，并说明由谁确认、何时回电。避免在不同人员之间重复解释。</w:t>
            </w:r>
          </w:p>
        </w:tc>
        <w:tc>
          <w:tcPr>
            <w:tcW w:w="2721" w:type="dxa"/>
            <w:shd w:val="clear" w:color="auto" w:fill="F3F7FA"/>
            <w:tcMar>
              <w:top w:w="90" w:type="dxa"/>
              <w:left w:w="110" w:type="dxa"/>
              <w:bottom w:w="90" w:type="dxa"/>
              <w:right w:w="110" w:type="dxa"/>
            </w:tcMar>
            <w:vAlign w:val="center"/>
          </w:tcPr>
          <w:p w14:paraId="752B211E">
            <w:pPr>
              <w:spacing w:before="0" w:after="0" w:line="269" w:lineRule="auto"/>
            </w:pPr>
            <w:r>
              <w:rPr>
                <w:sz w:val="16"/>
              </w:rPr>
              <w:t>接听岗位、承诺回电时间、主要答复。</w:t>
            </w:r>
          </w:p>
        </w:tc>
      </w:tr>
      <w:tr w14:paraId="23317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Mar>
              <w:top w:w="90" w:type="dxa"/>
              <w:left w:w="110" w:type="dxa"/>
              <w:bottom w:w="90" w:type="dxa"/>
              <w:right w:w="110" w:type="dxa"/>
            </w:tcMar>
            <w:vAlign w:val="center"/>
          </w:tcPr>
          <w:p w14:paraId="7CB9979F">
            <w:pPr>
              <w:spacing w:before="0" w:after="0" w:line="269" w:lineRule="auto"/>
            </w:pPr>
            <w:r>
              <w:rPr>
                <w:sz w:val="16"/>
              </w:rPr>
              <w:t>3明确拒绝</w:t>
            </w:r>
          </w:p>
        </w:tc>
        <w:tc>
          <w:tcPr>
            <w:tcW w:w="4535" w:type="dxa"/>
            <w:tcMar>
              <w:top w:w="90" w:type="dxa"/>
              <w:left w:w="110" w:type="dxa"/>
              <w:bottom w:w="90" w:type="dxa"/>
              <w:right w:w="110" w:type="dxa"/>
            </w:tcMar>
            <w:vAlign w:val="center"/>
          </w:tcPr>
          <w:p w14:paraId="76FAB46E">
            <w:pPr>
              <w:spacing w:before="0" w:after="0" w:line="269" w:lineRule="auto"/>
            </w:pPr>
            <w:r>
              <w:rPr>
                <w:sz w:val="16"/>
              </w:rPr>
              <w:t>请对方说明拒绝理由和决定人员；提出查阅《无障碍环境建设法》第四十六条及集团政策，再作一次内部复核。</w:t>
            </w:r>
          </w:p>
        </w:tc>
        <w:tc>
          <w:tcPr>
            <w:tcW w:w="2721" w:type="dxa"/>
            <w:tcMar>
              <w:top w:w="90" w:type="dxa"/>
              <w:left w:w="110" w:type="dxa"/>
              <w:bottom w:w="90" w:type="dxa"/>
              <w:right w:w="110" w:type="dxa"/>
            </w:tcMar>
            <w:vAlign w:val="center"/>
          </w:tcPr>
          <w:p w14:paraId="0AE8E1F7">
            <w:pPr>
              <w:spacing w:before="0" w:after="0" w:line="269" w:lineRule="auto"/>
            </w:pPr>
            <w:r>
              <w:rPr>
                <w:sz w:val="16"/>
              </w:rPr>
              <w:t>拒绝理由、决定岗位、复核结果。</w:t>
            </w:r>
          </w:p>
        </w:tc>
      </w:tr>
      <w:tr w14:paraId="52557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shd w:val="clear" w:color="auto" w:fill="F3F7FA"/>
            <w:tcMar>
              <w:top w:w="90" w:type="dxa"/>
              <w:left w:w="110" w:type="dxa"/>
              <w:bottom w:w="90" w:type="dxa"/>
              <w:right w:w="110" w:type="dxa"/>
            </w:tcMar>
            <w:vAlign w:val="center"/>
          </w:tcPr>
          <w:p w14:paraId="3C1E5D19">
            <w:pPr>
              <w:spacing w:before="0" w:after="0" w:line="269" w:lineRule="auto"/>
            </w:pPr>
            <w:r>
              <w:rPr>
                <w:sz w:val="16"/>
              </w:rPr>
              <w:t>4仍未解决</w:t>
            </w:r>
          </w:p>
        </w:tc>
        <w:tc>
          <w:tcPr>
            <w:tcW w:w="4535" w:type="dxa"/>
            <w:shd w:val="clear" w:color="auto" w:fill="F3F7FA"/>
            <w:tcMar>
              <w:top w:w="90" w:type="dxa"/>
              <w:left w:w="110" w:type="dxa"/>
              <w:bottom w:w="90" w:type="dxa"/>
              <w:right w:w="110" w:type="dxa"/>
            </w:tcMar>
            <w:vAlign w:val="center"/>
          </w:tcPr>
          <w:p w14:paraId="73E65B2D">
            <w:pPr>
              <w:spacing w:before="0" w:after="0" w:line="269" w:lineRule="auto"/>
            </w:pPr>
            <w:r>
              <w:rPr>
                <w:sz w:val="16"/>
              </w:rPr>
              <w:t>先联系集团客服和预订平台；需要外部协调时，可按事项向12345、12315或所在地文化和旅游、市场监管等渠道反映。</w:t>
            </w:r>
          </w:p>
        </w:tc>
        <w:tc>
          <w:tcPr>
            <w:tcW w:w="2721" w:type="dxa"/>
            <w:shd w:val="clear" w:color="auto" w:fill="F3F7FA"/>
            <w:tcMar>
              <w:top w:w="90" w:type="dxa"/>
              <w:left w:w="110" w:type="dxa"/>
              <w:bottom w:w="90" w:type="dxa"/>
              <w:right w:w="110" w:type="dxa"/>
            </w:tcMar>
            <w:vAlign w:val="center"/>
          </w:tcPr>
          <w:p w14:paraId="6744B80B">
            <w:pPr>
              <w:spacing w:before="0" w:after="0" w:line="269" w:lineRule="auto"/>
            </w:pPr>
            <w:r>
              <w:rPr>
                <w:sz w:val="16"/>
              </w:rPr>
              <w:t>订单、票据、沟通时间线和书面回复。</w:t>
            </w:r>
          </w:p>
        </w:tc>
      </w:tr>
      <w:tr w14:paraId="5732C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20" w:type="dxa"/>
            <w:tcMar>
              <w:top w:w="90" w:type="dxa"/>
              <w:left w:w="110" w:type="dxa"/>
              <w:bottom w:w="90" w:type="dxa"/>
              <w:right w:w="110" w:type="dxa"/>
            </w:tcMar>
            <w:vAlign w:val="center"/>
          </w:tcPr>
          <w:p w14:paraId="32DD52F6">
            <w:pPr>
              <w:spacing w:before="0" w:after="0" w:line="269" w:lineRule="auto"/>
            </w:pPr>
            <w:r>
              <w:rPr>
                <w:sz w:val="16"/>
              </w:rPr>
              <w:t>5到店冲突</w:t>
            </w:r>
          </w:p>
        </w:tc>
        <w:tc>
          <w:tcPr>
            <w:tcW w:w="4535" w:type="dxa"/>
            <w:tcMar>
              <w:top w:w="90" w:type="dxa"/>
              <w:left w:w="110" w:type="dxa"/>
              <w:bottom w:w="90" w:type="dxa"/>
              <w:right w:w="110" w:type="dxa"/>
            </w:tcMar>
            <w:vAlign w:val="center"/>
          </w:tcPr>
          <w:p w14:paraId="6FC47D28">
            <w:pPr>
              <w:spacing w:before="0" w:after="0" w:line="269" w:lineRule="auto"/>
            </w:pPr>
            <w:r>
              <w:rPr>
                <w:sz w:val="16"/>
              </w:rPr>
              <w:t>优先保障当下住宿和人身安全；要求值班经理提供可执行方案。确需改订时，保留新增费用和交通支出凭证，再继续投诉或寻求法律帮助。</w:t>
            </w:r>
          </w:p>
        </w:tc>
        <w:tc>
          <w:tcPr>
            <w:tcW w:w="2721" w:type="dxa"/>
            <w:tcMar>
              <w:top w:w="90" w:type="dxa"/>
              <w:left w:w="110" w:type="dxa"/>
              <w:bottom w:w="90" w:type="dxa"/>
              <w:right w:w="110" w:type="dxa"/>
            </w:tcMar>
            <w:vAlign w:val="center"/>
          </w:tcPr>
          <w:p w14:paraId="600266E8">
            <w:pPr>
              <w:spacing w:before="0" w:after="0" w:line="269" w:lineRule="auto"/>
            </w:pPr>
            <w:r>
              <w:rPr>
                <w:sz w:val="16"/>
              </w:rPr>
              <w:t>现场人员、实际处理、额外支出凭证。</w:t>
            </w:r>
          </w:p>
        </w:tc>
      </w:tr>
    </w:tbl>
    <w:p w14:paraId="528B3EAF">
      <w:pPr>
        <w:spacing w:before="120" w:after="120"/>
      </w:pPr>
      <w:r>
        <w:rPr>
          <w:b/>
          <w:color w:val="000000"/>
        </w:rPr>
        <w:t>记录原则：</w:t>
      </w:r>
      <w:r>
        <w:t>只保留解决问题所需的信息。在遵守适用规定和他人隐私的前提下记录沟通过程；不公开无关人员的姓名、电话、住客信息和未核实指控。</w:t>
      </w:r>
    </w:p>
    <w:p w14:paraId="42F0B00B">
      <w:pPr>
        <w:pStyle w:val="4"/>
        <w:pageBreakBefore/>
      </w:pPr>
      <w:bookmarkStart w:id="69" w:name="_Toc240635854"/>
      <w:bookmarkStart w:id="70" w:name="_Toc239432633"/>
      <w:r>
        <w:t>六 酒店操作工具</w:t>
      </w:r>
      <w:bookmarkEnd w:id="69"/>
      <w:bookmarkEnd w:id="70"/>
    </w:p>
    <w:p w14:paraId="269E6220">
      <w:r>
        <w:t>六类工具对应前台、客房、平台和客诉岗位。集团使用时，应结合国家及所在地规定、物业条件和现行系统流程完成法务与运营复核，并标注适用范围和更新日期。</w:t>
      </w:r>
    </w:p>
    <w:p w14:paraId="25272E15">
      <w:pPr>
        <w:pStyle w:val="5"/>
      </w:pPr>
      <w:r>
        <w:t>工具1 员工口袋卡</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7"/>
        <w:gridCol w:w="6860"/>
      </w:tblGrid>
      <w:tr w14:paraId="1F72C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17" w:type="dxa"/>
            <w:shd w:val="clear" w:color="auto" w:fill="DDEBF7"/>
            <w:tcMar>
              <w:top w:w="90" w:type="dxa"/>
              <w:left w:w="110" w:type="dxa"/>
              <w:bottom w:w="90" w:type="dxa"/>
              <w:right w:w="110" w:type="dxa"/>
            </w:tcMar>
            <w:vAlign w:val="center"/>
          </w:tcPr>
          <w:p w14:paraId="6B1FA7E7">
            <w:pPr>
              <w:keepNext/>
              <w:spacing w:before="0" w:after="0" w:line="269" w:lineRule="auto"/>
            </w:pPr>
            <w:r>
              <w:rPr>
                <w:b/>
                <w:color w:val="17365D"/>
                <w:sz w:val="17"/>
              </w:rPr>
              <w:t>环节</w:t>
            </w:r>
          </w:p>
        </w:tc>
        <w:tc>
          <w:tcPr>
            <w:tcW w:w="6860" w:type="dxa"/>
            <w:shd w:val="clear" w:color="auto" w:fill="DDEBF7"/>
            <w:tcMar>
              <w:top w:w="90" w:type="dxa"/>
              <w:left w:w="110" w:type="dxa"/>
              <w:bottom w:w="90" w:type="dxa"/>
              <w:right w:w="110" w:type="dxa"/>
            </w:tcMar>
            <w:vAlign w:val="center"/>
          </w:tcPr>
          <w:p w14:paraId="387945AD">
            <w:pPr>
              <w:keepNext/>
              <w:spacing w:before="0" w:after="0" w:line="269" w:lineRule="auto"/>
            </w:pPr>
            <w:r>
              <w:rPr>
                <w:b/>
                <w:color w:val="17365D"/>
                <w:sz w:val="17"/>
              </w:rPr>
              <w:t>一线动作</w:t>
            </w:r>
          </w:p>
        </w:tc>
      </w:tr>
      <w:tr w14:paraId="758A1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90" w:type="dxa"/>
              <w:left w:w="110" w:type="dxa"/>
              <w:bottom w:w="90" w:type="dxa"/>
              <w:right w:w="110" w:type="dxa"/>
            </w:tcMar>
            <w:vAlign w:val="center"/>
          </w:tcPr>
          <w:p w14:paraId="1087B21E">
            <w:pPr>
              <w:spacing w:before="0" w:after="0" w:line="269" w:lineRule="auto"/>
            </w:pPr>
            <w:r>
              <w:rPr>
                <w:sz w:val="17"/>
              </w:rPr>
              <w:t>先识别</w:t>
            </w:r>
          </w:p>
        </w:tc>
        <w:tc>
          <w:tcPr>
            <w:tcW w:w="6860" w:type="dxa"/>
            <w:tcMar>
              <w:top w:w="90" w:type="dxa"/>
              <w:left w:w="110" w:type="dxa"/>
              <w:bottom w:w="90" w:type="dxa"/>
              <w:right w:w="110" w:type="dxa"/>
            </w:tcMar>
            <w:vAlign w:val="center"/>
          </w:tcPr>
          <w:p w14:paraId="40C8E1C5">
            <w:pPr>
              <w:spacing w:before="0" w:after="0" w:line="269" w:lineRule="auto"/>
            </w:pPr>
            <w:r>
              <w:rPr>
                <w:sz w:val="17"/>
              </w:rPr>
              <w:t>导盲犬是协助视障者出行的服务犬，不套用普通宠物禁入规则。直接与住客本人沟通。</w:t>
            </w:r>
          </w:p>
        </w:tc>
      </w:tr>
      <w:tr w14:paraId="6E3A4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shd w:val="clear" w:color="auto" w:fill="F3F7FA"/>
            <w:tcMar>
              <w:top w:w="90" w:type="dxa"/>
              <w:left w:w="110" w:type="dxa"/>
              <w:bottom w:w="90" w:type="dxa"/>
              <w:right w:w="110" w:type="dxa"/>
            </w:tcMar>
            <w:vAlign w:val="center"/>
          </w:tcPr>
          <w:p w14:paraId="4DAA3C60">
            <w:pPr>
              <w:spacing w:before="0" w:after="0" w:line="269" w:lineRule="auto"/>
            </w:pPr>
            <w:r>
              <w:rPr>
                <w:sz w:val="17"/>
              </w:rPr>
              <w:t>查规则</w:t>
            </w:r>
          </w:p>
        </w:tc>
        <w:tc>
          <w:tcPr>
            <w:tcW w:w="6860" w:type="dxa"/>
            <w:shd w:val="clear" w:color="auto" w:fill="F3F7FA"/>
            <w:tcMar>
              <w:top w:w="90" w:type="dxa"/>
              <w:left w:w="110" w:type="dxa"/>
              <w:bottom w:w="90" w:type="dxa"/>
              <w:right w:w="110" w:type="dxa"/>
            </w:tcMar>
            <w:vAlign w:val="center"/>
          </w:tcPr>
          <w:p w14:paraId="16DB1827">
            <w:pPr>
              <w:spacing w:before="0" w:after="0" w:line="269" w:lineRule="auto"/>
            </w:pPr>
            <w:r>
              <w:rPr>
                <w:sz w:val="17"/>
              </w:rPr>
              <w:t>查询集团当前有效政策。依据适用规定核验必要材料，不自行增加证件组合，不拍摄或留存无关信息。</w:t>
            </w:r>
          </w:p>
        </w:tc>
      </w:tr>
      <w:tr w14:paraId="59783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90" w:type="dxa"/>
              <w:left w:w="110" w:type="dxa"/>
              <w:bottom w:w="90" w:type="dxa"/>
              <w:right w:w="110" w:type="dxa"/>
            </w:tcMar>
            <w:vAlign w:val="center"/>
          </w:tcPr>
          <w:p w14:paraId="4D6FB509">
            <w:pPr>
              <w:spacing w:before="0" w:after="0" w:line="269" w:lineRule="auto"/>
            </w:pPr>
            <w:r>
              <w:rPr>
                <w:sz w:val="17"/>
              </w:rPr>
              <w:t>正常办理</w:t>
            </w:r>
          </w:p>
        </w:tc>
        <w:tc>
          <w:tcPr>
            <w:tcW w:w="6860" w:type="dxa"/>
            <w:tcMar>
              <w:top w:w="90" w:type="dxa"/>
              <w:left w:w="110" w:type="dxa"/>
              <w:bottom w:w="90" w:type="dxa"/>
              <w:right w:w="110" w:type="dxa"/>
            </w:tcMar>
            <w:vAlign w:val="center"/>
          </w:tcPr>
          <w:p w14:paraId="5180E905">
            <w:pPr>
              <w:spacing w:before="0" w:after="0" w:line="269" w:lineRule="auto"/>
            </w:pPr>
            <w:r>
              <w:rPr>
                <w:sz w:val="17"/>
              </w:rPr>
              <w:t>适用普通住客的房价、押金和房型规则，不预收服务犬清洁费，不要求无依据的免责协议。</w:t>
            </w:r>
          </w:p>
        </w:tc>
      </w:tr>
      <w:tr w14:paraId="69565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shd w:val="clear" w:color="auto" w:fill="F3F7FA"/>
            <w:tcMar>
              <w:top w:w="90" w:type="dxa"/>
              <w:left w:w="110" w:type="dxa"/>
              <w:bottom w:w="90" w:type="dxa"/>
              <w:right w:w="110" w:type="dxa"/>
            </w:tcMar>
            <w:vAlign w:val="center"/>
          </w:tcPr>
          <w:p w14:paraId="747BAB0A">
            <w:pPr>
              <w:spacing w:before="0" w:after="0" w:line="269" w:lineRule="auto"/>
            </w:pPr>
            <w:r>
              <w:rPr>
                <w:sz w:val="17"/>
              </w:rPr>
              <w:t>按需协助</w:t>
            </w:r>
          </w:p>
        </w:tc>
        <w:tc>
          <w:tcPr>
            <w:tcW w:w="6860" w:type="dxa"/>
            <w:shd w:val="clear" w:color="auto" w:fill="F3F7FA"/>
            <w:tcMar>
              <w:top w:w="90" w:type="dxa"/>
              <w:left w:w="110" w:type="dxa"/>
              <w:bottom w:w="90" w:type="dxa"/>
              <w:right w:w="110" w:type="dxa"/>
            </w:tcMar>
            <w:vAlign w:val="center"/>
          </w:tcPr>
          <w:p w14:paraId="475D8223">
            <w:pPr>
              <w:spacing w:before="0" w:after="0" w:line="269" w:lineRule="auto"/>
            </w:pPr>
            <w:r>
              <w:rPr>
                <w:sz w:val="17"/>
              </w:rPr>
              <w:t>询问是否需要介绍电梯方向、客房布局、设施位置或一次性引导。未经同意，不拉住客手臂，不触碰牵引绳或导盲鞍。</w:t>
            </w:r>
          </w:p>
        </w:tc>
      </w:tr>
      <w:tr w14:paraId="79C8D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tcMar>
              <w:top w:w="90" w:type="dxa"/>
              <w:left w:w="110" w:type="dxa"/>
              <w:bottom w:w="90" w:type="dxa"/>
              <w:right w:w="110" w:type="dxa"/>
            </w:tcMar>
            <w:vAlign w:val="center"/>
          </w:tcPr>
          <w:p w14:paraId="30EBD4C6">
            <w:pPr>
              <w:spacing w:before="0" w:after="0" w:line="269" w:lineRule="auto"/>
            </w:pPr>
            <w:r>
              <w:rPr>
                <w:sz w:val="17"/>
              </w:rPr>
              <w:t>无法确认</w:t>
            </w:r>
          </w:p>
        </w:tc>
        <w:tc>
          <w:tcPr>
            <w:tcW w:w="6860" w:type="dxa"/>
            <w:tcMar>
              <w:top w:w="90" w:type="dxa"/>
              <w:left w:w="110" w:type="dxa"/>
              <w:bottom w:w="90" w:type="dxa"/>
              <w:right w:w="110" w:type="dxa"/>
            </w:tcMar>
            <w:vAlign w:val="center"/>
          </w:tcPr>
          <w:p w14:paraId="624E881E">
            <w:pPr>
              <w:spacing w:before="0" w:after="0" w:line="269" w:lineRule="auto"/>
            </w:pPr>
            <w:r>
              <w:rPr>
                <w:sz w:val="17"/>
              </w:rPr>
              <w:t>由首次接听员工发起内部查询，联系当班负责人，并在明确时限内回电；不让消费者反复拨打。</w:t>
            </w:r>
          </w:p>
        </w:tc>
      </w:tr>
      <w:tr w14:paraId="7D316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17" w:type="dxa"/>
            <w:shd w:val="clear" w:color="auto" w:fill="F3F7FA"/>
            <w:tcMar>
              <w:top w:w="90" w:type="dxa"/>
              <w:left w:w="110" w:type="dxa"/>
              <w:bottom w:w="90" w:type="dxa"/>
              <w:right w:w="110" w:type="dxa"/>
            </w:tcMar>
            <w:vAlign w:val="center"/>
          </w:tcPr>
          <w:p w14:paraId="2A230FF5">
            <w:pPr>
              <w:spacing w:before="0" w:after="0" w:line="269" w:lineRule="auto"/>
            </w:pPr>
            <w:r>
              <w:rPr>
                <w:sz w:val="17"/>
              </w:rPr>
              <w:t>出现分歧</w:t>
            </w:r>
          </w:p>
        </w:tc>
        <w:tc>
          <w:tcPr>
            <w:tcW w:w="6860" w:type="dxa"/>
            <w:shd w:val="clear" w:color="auto" w:fill="F3F7FA"/>
            <w:tcMar>
              <w:top w:w="90" w:type="dxa"/>
              <w:left w:w="110" w:type="dxa"/>
              <w:bottom w:w="90" w:type="dxa"/>
              <w:right w:w="110" w:type="dxa"/>
            </w:tcMar>
            <w:vAlign w:val="center"/>
          </w:tcPr>
          <w:p w14:paraId="1E27F010">
            <w:pPr>
              <w:spacing w:before="0" w:after="0" w:line="269" w:lineRule="auto"/>
            </w:pPr>
            <w:r>
              <w:rPr>
                <w:sz w:val="17"/>
              </w:rPr>
              <w:t>先保障住客继续使用服务，再核实实际卫生、安全或过敏需求；优先调整座位、房间、楼层或动线。</w:t>
            </w:r>
          </w:p>
        </w:tc>
      </w:tr>
    </w:tbl>
    <w:p w14:paraId="6BA0D655">
      <w:pPr>
        <w:spacing w:before="120" w:after="120"/>
      </w:pPr>
      <w:r>
        <w:rPr>
          <w:b/>
          <w:color w:val="000000"/>
        </w:rPr>
        <w:t>前台参考用语：</w:t>
      </w:r>
      <w:r>
        <w:t>“我先为您查询当前接待规则。需要确认的事项由我联系当班负责人，并在约定时间内回复您。”</w:t>
      </w:r>
    </w:p>
    <w:p w14:paraId="144B595E">
      <w:pPr>
        <w:pStyle w:val="5"/>
        <w:pageBreakBefore/>
      </w:pPr>
      <w:r>
        <w:t>工具2 预订平台与线下标识检查表</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74"/>
        <w:gridCol w:w="3969"/>
        <w:gridCol w:w="2835"/>
      </w:tblGrid>
      <w:tr w14:paraId="522AF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474" w:type="dxa"/>
            <w:shd w:val="clear" w:color="auto" w:fill="DDEBF7"/>
            <w:tcMar>
              <w:top w:w="90" w:type="dxa"/>
              <w:left w:w="110" w:type="dxa"/>
              <w:bottom w:w="90" w:type="dxa"/>
              <w:right w:w="110" w:type="dxa"/>
            </w:tcMar>
            <w:vAlign w:val="center"/>
          </w:tcPr>
          <w:p w14:paraId="29B02093">
            <w:pPr>
              <w:keepNext/>
              <w:spacing w:before="0" w:after="0" w:line="269" w:lineRule="auto"/>
            </w:pPr>
            <w:r>
              <w:rPr>
                <w:b/>
                <w:color w:val="17365D"/>
                <w:sz w:val="16"/>
              </w:rPr>
              <w:t>位置</w:t>
            </w:r>
          </w:p>
        </w:tc>
        <w:tc>
          <w:tcPr>
            <w:tcW w:w="3969" w:type="dxa"/>
            <w:shd w:val="clear" w:color="auto" w:fill="DDEBF7"/>
            <w:tcMar>
              <w:top w:w="90" w:type="dxa"/>
              <w:left w:w="110" w:type="dxa"/>
              <w:bottom w:w="90" w:type="dxa"/>
              <w:right w:w="110" w:type="dxa"/>
            </w:tcMar>
            <w:vAlign w:val="center"/>
          </w:tcPr>
          <w:p w14:paraId="64DE6E6F">
            <w:pPr>
              <w:keepNext/>
              <w:spacing w:before="0" w:after="0" w:line="269" w:lineRule="auto"/>
            </w:pPr>
            <w:r>
              <w:rPr>
                <w:b/>
                <w:color w:val="17365D"/>
                <w:sz w:val="16"/>
              </w:rPr>
              <w:t>必查内容</w:t>
            </w:r>
          </w:p>
        </w:tc>
        <w:tc>
          <w:tcPr>
            <w:tcW w:w="2835" w:type="dxa"/>
            <w:shd w:val="clear" w:color="auto" w:fill="DDEBF7"/>
            <w:tcMar>
              <w:top w:w="90" w:type="dxa"/>
              <w:left w:w="110" w:type="dxa"/>
              <w:bottom w:w="90" w:type="dxa"/>
              <w:right w:w="110" w:type="dxa"/>
            </w:tcMar>
            <w:vAlign w:val="center"/>
          </w:tcPr>
          <w:p w14:paraId="443F79A8">
            <w:pPr>
              <w:keepNext/>
              <w:spacing w:before="0" w:after="0" w:line="269" w:lineRule="auto"/>
            </w:pPr>
            <w:r>
              <w:rPr>
                <w:b/>
                <w:color w:val="17365D"/>
                <w:sz w:val="16"/>
              </w:rPr>
              <w:t>合格状态</w:t>
            </w:r>
          </w:p>
        </w:tc>
      </w:tr>
      <w:tr w14:paraId="2E6DA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tcMar>
              <w:top w:w="90" w:type="dxa"/>
              <w:left w:w="110" w:type="dxa"/>
              <w:bottom w:w="90" w:type="dxa"/>
              <w:right w:w="110" w:type="dxa"/>
            </w:tcMar>
            <w:vAlign w:val="center"/>
          </w:tcPr>
          <w:p w14:paraId="55C58EEA">
            <w:pPr>
              <w:spacing w:before="0" w:after="0" w:line="269" w:lineRule="auto"/>
            </w:pPr>
            <w:r>
              <w:rPr>
                <w:sz w:val="16"/>
              </w:rPr>
              <w:t>官网／官方App</w:t>
            </w:r>
          </w:p>
        </w:tc>
        <w:tc>
          <w:tcPr>
            <w:tcW w:w="3969" w:type="dxa"/>
            <w:tcMar>
              <w:top w:w="90" w:type="dxa"/>
              <w:left w:w="110" w:type="dxa"/>
              <w:bottom w:w="90" w:type="dxa"/>
              <w:right w:w="110" w:type="dxa"/>
            </w:tcMar>
            <w:vAlign w:val="center"/>
          </w:tcPr>
          <w:p w14:paraId="17089AB3">
            <w:pPr>
              <w:spacing w:before="0" w:after="0" w:line="269" w:lineRule="auto"/>
            </w:pPr>
            <w:r>
              <w:rPr>
                <w:sz w:val="16"/>
              </w:rPr>
              <w:t>服务犬信息与普通宠物政策分开；注明政策来源、适用门店和更新时间。</w:t>
            </w:r>
          </w:p>
        </w:tc>
        <w:tc>
          <w:tcPr>
            <w:tcW w:w="2835" w:type="dxa"/>
            <w:tcMar>
              <w:top w:w="90" w:type="dxa"/>
              <w:left w:w="110" w:type="dxa"/>
              <w:bottom w:w="90" w:type="dxa"/>
              <w:right w:w="110" w:type="dxa"/>
            </w:tcMar>
            <w:vAlign w:val="center"/>
          </w:tcPr>
          <w:p w14:paraId="402389E3">
            <w:pPr>
              <w:spacing w:before="0" w:after="0" w:line="269" w:lineRule="auto"/>
            </w:pPr>
            <w:r>
              <w:rPr>
                <w:sz w:val="16"/>
              </w:rPr>
              <w:t>消费者不致电也能判断基本接待规则。</w:t>
            </w:r>
          </w:p>
        </w:tc>
      </w:tr>
      <w:tr w14:paraId="100BE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shd w:val="clear" w:color="auto" w:fill="F3F7FA"/>
            <w:tcMar>
              <w:top w:w="90" w:type="dxa"/>
              <w:left w:w="110" w:type="dxa"/>
              <w:bottom w:w="90" w:type="dxa"/>
              <w:right w:w="110" w:type="dxa"/>
            </w:tcMar>
            <w:vAlign w:val="center"/>
          </w:tcPr>
          <w:p w14:paraId="3EB45DCB">
            <w:pPr>
              <w:spacing w:before="0" w:after="0" w:line="269" w:lineRule="auto"/>
            </w:pPr>
            <w:r>
              <w:rPr>
                <w:sz w:val="16"/>
              </w:rPr>
              <w:t>第三方预订平台</w:t>
            </w:r>
          </w:p>
        </w:tc>
        <w:tc>
          <w:tcPr>
            <w:tcW w:w="3969" w:type="dxa"/>
            <w:shd w:val="clear" w:color="auto" w:fill="F3F7FA"/>
            <w:tcMar>
              <w:top w:w="90" w:type="dxa"/>
              <w:left w:w="110" w:type="dxa"/>
              <w:bottom w:w="90" w:type="dxa"/>
              <w:right w:w="110" w:type="dxa"/>
            </w:tcMar>
            <w:vAlign w:val="center"/>
          </w:tcPr>
          <w:p w14:paraId="287F0D2A">
            <w:pPr>
              <w:spacing w:before="0" w:after="0" w:line="269" w:lineRule="auto"/>
            </w:pPr>
            <w:r>
              <w:rPr>
                <w:sz w:val="16"/>
              </w:rPr>
              <w:t>集团、品牌和门店字段一致；说明是否需要提前联系及联系目的。</w:t>
            </w:r>
          </w:p>
        </w:tc>
        <w:tc>
          <w:tcPr>
            <w:tcW w:w="2835" w:type="dxa"/>
            <w:shd w:val="clear" w:color="auto" w:fill="F3F7FA"/>
            <w:tcMar>
              <w:top w:w="90" w:type="dxa"/>
              <w:left w:w="110" w:type="dxa"/>
              <w:bottom w:w="90" w:type="dxa"/>
              <w:right w:w="110" w:type="dxa"/>
            </w:tcMar>
            <w:vAlign w:val="center"/>
          </w:tcPr>
          <w:p w14:paraId="2D28C49F">
            <w:pPr>
              <w:spacing w:before="0" w:after="0" w:line="269" w:lineRule="auto"/>
            </w:pPr>
            <w:r>
              <w:rPr>
                <w:sz w:val="16"/>
              </w:rPr>
              <w:t>普通宠物政策与服务犬接待政策分别表述，不混用；服务犬接待信息在各渠道保持一致。</w:t>
            </w:r>
          </w:p>
        </w:tc>
      </w:tr>
      <w:tr w14:paraId="55791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tcMar>
              <w:top w:w="90" w:type="dxa"/>
              <w:left w:w="110" w:type="dxa"/>
              <w:bottom w:w="90" w:type="dxa"/>
              <w:right w:w="110" w:type="dxa"/>
            </w:tcMar>
            <w:vAlign w:val="center"/>
          </w:tcPr>
          <w:p w14:paraId="3305C0AE">
            <w:pPr>
              <w:spacing w:before="0" w:after="0" w:line="269" w:lineRule="auto"/>
            </w:pPr>
            <w:r>
              <w:rPr>
                <w:sz w:val="16"/>
              </w:rPr>
              <w:t>客服知识库</w:t>
            </w:r>
          </w:p>
        </w:tc>
        <w:tc>
          <w:tcPr>
            <w:tcW w:w="3969" w:type="dxa"/>
            <w:tcMar>
              <w:top w:w="90" w:type="dxa"/>
              <w:left w:w="110" w:type="dxa"/>
              <w:bottom w:w="90" w:type="dxa"/>
              <w:right w:w="110" w:type="dxa"/>
            </w:tcMar>
            <w:vAlign w:val="center"/>
          </w:tcPr>
          <w:p w14:paraId="7EBD9525">
            <w:pPr>
              <w:spacing w:before="0" w:after="0" w:line="269" w:lineRule="auto"/>
            </w:pPr>
            <w:r>
              <w:rPr>
                <w:sz w:val="16"/>
              </w:rPr>
              <w:t>证件核验、收费、房型、公共空间、上报处理流程与门店手册一致。</w:t>
            </w:r>
          </w:p>
        </w:tc>
        <w:tc>
          <w:tcPr>
            <w:tcW w:w="2835" w:type="dxa"/>
            <w:tcMar>
              <w:top w:w="90" w:type="dxa"/>
              <w:left w:w="110" w:type="dxa"/>
              <w:bottom w:w="90" w:type="dxa"/>
              <w:right w:w="110" w:type="dxa"/>
            </w:tcMar>
            <w:vAlign w:val="center"/>
          </w:tcPr>
          <w:p w14:paraId="4A0FA6A6">
            <w:pPr>
              <w:spacing w:before="0" w:after="0" w:line="269" w:lineRule="auto"/>
            </w:pPr>
            <w:r>
              <w:rPr>
                <w:sz w:val="16"/>
              </w:rPr>
              <w:t>客服能够说明依据并直接协调门店。</w:t>
            </w:r>
          </w:p>
        </w:tc>
      </w:tr>
      <w:tr w14:paraId="1479E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shd w:val="clear" w:color="auto" w:fill="F3F7FA"/>
            <w:tcMar>
              <w:top w:w="90" w:type="dxa"/>
              <w:left w:w="110" w:type="dxa"/>
              <w:bottom w:w="90" w:type="dxa"/>
              <w:right w:w="110" w:type="dxa"/>
            </w:tcMar>
            <w:vAlign w:val="center"/>
          </w:tcPr>
          <w:p w14:paraId="20B5B40B">
            <w:pPr>
              <w:spacing w:before="0" w:after="0" w:line="269" w:lineRule="auto"/>
            </w:pPr>
            <w:r>
              <w:rPr>
                <w:sz w:val="16"/>
              </w:rPr>
              <w:t>酒店入口／前台</w:t>
            </w:r>
          </w:p>
        </w:tc>
        <w:tc>
          <w:tcPr>
            <w:tcW w:w="3969" w:type="dxa"/>
            <w:shd w:val="clear" w:color="auto" w:fill="F3F7FA"/>
            <w:tcMar>
              <w:top w:w="90" w:type="dxa"/>
              <w:left w:w="110" w:type="dxa"/>
              <w:bottom w:w="90" w:type="dxa"/>
              <w:right w:w="110" w:type="dxa"/>
            </w:tcMar>
            <w:vAlign w:val="center"/>
          </w:tcPr>
          <w:p w14:paraId="75C8DC7D">
            <w:pPr>
              <w:spacing w:before="0" w:after="0" w:line="269" w:lineRule="auto"/>
            </w:pPr>
            <w:r>
              <w:rPr>
                <w:sz w:val="16"/>
              </w:rPr>
              <w:t>使用高对比度文字和图形，说明依法接待导盲犬等服务犬及咨询方式。</w:t>
            </w:r>
          </w:p>
        </w:tc>
        <w:tc>
          <w:tcPr>
            <w:tcW w:w="2835" w:type="dxa"/>
            <w:shd w:val="clear" w:color="auto" w:fill="F3F7FA"/>
            <w:tcMar>
              <w:top w:w="90" w:type="dxa"/>
              <w:left w:w="110" w:type="dxa"/>
              <w:bottom w:w="90" w:type="dxa"/>
              <w:right w:w="110" w:type="dxa"/>
            </w:tcMar>
            <w:vAlign w:val="center"/>
          </w:tcPr>
          <w:p w14:paraId="35BFA717">
            <w:pPr>
              <w:spacing w:before="0" w:after="0" w:line="269" w:lineRule="auto"/>
            </w:pPr>
            <w:r>
              <w:rPr>
                <w:sz w:val="16"/>
              </w:rPr>
              <w:t>信息醒目、简短，不暴露任何住客入住信息。</w:t>
            </w:r>
          </w:p>
        </w:tc>
      </w:tr>
      <w:tr w14:paraId="2DCB9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474" w:type="dxa"/>
            <w:tcMar>
              <w:top w:w="90" w:type="dxa"/>
              <w:left w:w="110" w:type="dxa"/>
              <w:bottom w:w="90" w:type="dxa"/>
              <w:right w:w="110" w:type="dxa"/>
            </w:tcMar>
            <w:vAlign w:val="center"/>
          </w:tcPr>
          <w:p w14:paraId="23442AE9">
            <w:pPr>
              <w:spacing w:before="0" w:after="0" w:line="269" w:lineRule="auto"/>
            </w:pPr>
            <w:r>
              <w:rPr>
                <w:sz w:val="16"/>
              </w:rPr>
              <w:t>更新机制</w:t>
            </w:r>
          </w:p>
        </w:tc>
        <w:tc>
          <w:tcPr>
            <w:tcW w:w="3969" w:type="dxa"/>
            <w:tcMar>
              <w:top w:w="90" w:type="dxa"/>
              <w:left w:w="110" w:type="dxa"/>
              <w:bottom w:w="90" w:type="dxa"/>
              <w:right w:w="110" w:type="dxa"/>
            </w:tcMar>
            <w:vAlign w:val="center"/>
          </w:tcPr>
          <w:p w14:paraId="092EF840">
            <w:pPr>
              <w:spacing w:before="0" w:after="0" w:line="269" w:lineRule="auto"/>
            </w:pPr>
            <w:r>
              <w:rPr>
                <w:sz w:val="16"/>
              </w:rPr>
              <w:t>规则调整时同步所有渠道，保留生效日期、旧版停用日期和责任部门。</w:t>
            </w:r>
          </w:p>
        </w:tc>
        <w:tc>
          <w:tcPr>
            <w:tcW w:w="2835" w:type="dxa"/>
            <w:tcMar>
              <w:top w:w="90" w:type="dxa"/>
              <w:left w:w="110" w:type="dxa"/>
              <w:bottom w:w="90" w:type="dxa"/>
              <w:right w:w="110" w:type="dxa"/>
            </w:tcMar>
            <w:vAlign w:val="center"/>
          </w:tcPr>
          <w:p w14:paraId="69F66D4A">
            <w:pPr>
              <w:spacing w:before="0" w:after="0" w:line="269" w:lineRule="auto"/>
            </w:pPr>
            <w:r>
              <w:rPr>
                <w:sz w:val="16"/>
              </w:rPr>
              <w:t>抽查发现冲突后有负责人和完成时限。</w:t>
            </w:r>
          </w:p>
        </w:tc>
      </w:tr>
    </w:tbl>
    <w:p w14:paraId="76B9B57E">
      <w:pPr>
        <w:spacing w:before="120" w:after="120"/>
      </w:pPr>
      <w:r>
        <w:rPr>
          <w:b/>
          <w:color w:val="000000"/>
        </w:rPr>
        <w:t>页面参考文案：</w:t>
      </w:r>
      <w:r>
        <w:t>“本酒店依法为残疾人携带导盲犬等服务犬提供便利。服务犬不适用普通宠物政策。需要了解核验要求或申请协助，请联系前台。”</w:t>
      </w:r>
    </w:p>
    <w:p w14:paraId="4D74A5D3">
      <w:pPr>
        <w:pStyle w:val="5"/>
        <w:pageBreakBefore/>
      </w:pPr>
      <w:r>
        <w:t>工具3 普通住客提示卡</w:t>
      </w:r>
    </w:p>
    <w:p w14:paraId="0F0A5DA8">
      <w:pPr>
        <w:spacing w:before="120" w:after="120"/>
      </w:pPr>
      <w:r>
        <w:rPr>
          <w:b/>
          <w:color w:val="000000"/>
        </w:rPr>
        <w:t>提示卡文案：</w:t>
      </w:r>
      <w:r>
        <w:t>您可能会在酒店遇到佩戴导盲鞍、正在工作的导盲犬。请勿呼唤、抚摸、喂食、逗弄或阻挡它，也不要触碰牵引绳和导盲鞍。如您有过敏、恐惧或其他实际需要，请联系前台。酒店将根据双方需要调整座位、房间或动线，帮助不同住客安全、平等地使用公共空间。</w:t>
      </w:r>
    </w:p>
    <w:p w14:paraId="1BB7ACE2">
      <w:r>
        <w:t>投放位置以入口、前台、餐厅和公共区域为主，可常态展示或按门店实际情况使用。不在客房门口或整层房门悬挂提示，不以任何方式标示导盲犬使用者的房号、残障信息或活动路线。</w:t>
      </w:r>
    </w:p>
    <w:p w14:paraId="70700C13">
      <w:pPr>
        <w:pStyle w:val="174"/>
      </w:pPr>
      <w:r>
        <w:t>文案不作零风险承诺，也不把依法接待写成需要向其他住客道歉的事项。工作人员只说明工作犬属性、相处方式和酒店可以提供的环境调整。</w:t>
      </w:r>
    </w:p>
    <w:p w14:paraId="158C3B07">
      <w:pPr>
        <w:pStyle w:val="5"/>
        <w:pageBreakBefore/>
      </w:pPr>
      <w:r>
        <w:t>工具4 客房合理便利清单</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4"/>
        <w:gridCol w:w="3969"/>
        <w:gridCol w:w="3005"/>
      </w:tblGrid>
      <w:tr w14:paraId="6C449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304" w:type="dxa"/>
            <w:shd w:val="clear" w:color="auto" w:fill="DDEBF7"/>
            <w:tcMar>
              <w:top w:w="90" w:type="dxa"/>
              <w:left w:w="110" w:type="dxa"/>
              <w:bottom w:w="90" w:type="dxa"/>
              <w:right w:w="110" w:type="dxa"/>
            </w:tcMar>
            <w:vAlign w:val="center"/>
          </w:tcPr>
          <w:p w14:paraId="3FC1346A">
            <w:pPr>
              <w:keepNext/>
              <w:spacing w:before="0" w:after="0" w:line="269" w:lineRule="auto"/>
            </w:pPr>
            <w:r>
              <w:rPr>
                <w:b/>
                <w:color w:val="17365D"/>
                <w:sz w:val="16"/>
              </w:rPr>
              <w:t>时点</w:t>
            </w:r>
          </w:p>
        </w:tc>
        <w:tc>
          <w:tcPr>
            <w:tcW w:w="3969" w:type="dxa"/>
            <w:shd w:val="clear" w:color="auto" w:fill="DDEBF7"/>
            <w:tcMar>
              <w:top w:w="90" w:type="dxa"/>
              <w:left w:w="110" w:type="dxa"/>
              <w:bottom w:w="90" w:type="dxa"/>
              <w:right w:w="110" w:type="dxa"/>
            </w:tcMar>
            <w:vAlign w:val="center"/>
          </w:tcPr>
          <w:p w14:paraId="72049B2D">
            <w:pPr>
              <w:keepNext/>
              <w:spacing w:before="0" w:after="0" w:line="269" w:lineRule="auto"/>
            </w:pPr>
            <w:r>
              <w:rPr>
                <w:b/>
                <w:color w:val="17365D"/>
                <w:sz w:val="16"/>
              </w:rPr>
              <w:t>可提供的便利</w:t>
            </w:r>
          </w:p>
        </w:tc>
        <w:tc>
          <w:tcPr>
            <w:tcW w:w="3005" w:type="dxa"/>
            <w:shd w:val="clear" w:color="auto" w:fill="DDEBF7"/>
            <w:tcMar>
              <w:top w:w="90" w:type="dxa"/>
              <w:left w:w="110" w:type="dxa"/>
              <w:bottom w:w="90" w:type="dxa"/>
              <w:right w:w="110" w:type="dxa"/>
            </w:tcMar>
            <w:vAlign w:val="center"/>
          </w:tcPr>
          <w:p w14:paraId="35C1F0EE">
            <w:pPr>
              <w:keepNext/>
              <w:spacing w:before="0" w:after="0" w:line="269" w:lineRule="auto"/>
            </w:pPr>
            <w:r>
              <w:rPr>
                <w:b/>
                <w:color w:val="17365D"/>
                <w:sz w:val="16"/>
              </w:rPr>
              <w:t>边界</w:t>
            </w:r>
          </w:p>
        </w:tc>
      </w:tr>
      <w:tr w14:paraId="24D50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4" w:type="dxa"/>
            <w:tcMar>
              <w:top w:w="90" w:type="dxa"/>
              <w:left w:w="110" w:type="dxa"/>
              <w:bottom w:w="90" w:type="dxa"/>
              <w:right w:w="110" w:type="dxa"/>
            </w:tcMar>
            <w:vAlign w:val="center"/>
          </w:tcPr>
          <w:p w14:paraId="1F562738">
            <w:pPr>
              <w:spacing w:before="0" w:after="0" w:line="269" w:lineRule="auto"/>
            </w:pPr>
            <w:r>
              <w:rPr>
                <w:sz w:val="16"/>
              </w:rPr>
              <w:t>抵店前</w:t>
            </w:r>
          </w:p>
        </w:tc>
        <w:tc>
          <w:tcPr>
            <w:tcW w:w="3969" w:type="dxa"/>
            <w:tcMar>
              <w:top w:w="90" w:type="dxa"/>
              <w:left w:w="110" w:type="dxa"/>
              <w:bottom w:w="90" w:type="dxa"/>
              <w:right w:w="110" w:type="dxa"/>
            </w:tcMar>
            <w:vAlign w:val="center"/>
          </w:tcPr>
          <w:p w14:paraId="472B63CA">
            <w:pPr>
              <w:spacing w:before="0" w:after="0" w:line="269" w:lineRule="auto"/>
            </w:pPr>
            <w:r>
              <w:rPr>
                <w:sz w:val="16"/>
              </w:rPr>
              <w:t>确认到店时间、房型和住客主动提出的协助需求。</w:t>
            </w:r>
          </w:p>
        </w:tc>
        <w:tc>
          <w:tcPr>
            <w:tcW w:w="3005" w:type="dxa"/>
            <w:tcMar>
              <w:top w:w="90" w:type="dxa"/>
              <w:left w:w="110" w:type="dxa"/>
              <w:bottom w:w="90" w:type="dxa"/>
              <w:right w:w="110" w:type="dxa"/>
            </w:tcMar>
            <w:vAlign w:val="center"/>
          </w:tcPr>
          <w:p w14:paraId="66A00B0E">
            <w:pPr>
              <w:spacing w:before="0" w:after="0" w:line="269" w:lineRule="auto"/>
            </w:pPr>
            <w:r>
              <w:rPr>
                <w:sz w:val="16"/>
              </w:rPr>
              <w:t>不把提前报备变成拒绝或加价条件。</w:t>
            </w:r>
          </w:p>
        </w:tc>
      </w:tr>
      <w:tr w14:paraId="601B7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4" w:type="dxa"/>
            <w:shd w:val="clear" w:color="auto" w:fill="F3F7FA"/>
            <w:tcMar>
              <w:top w:w="90" w:type="dxa"/>
              <w:left w:w="110" w:type="dxa"/>
              <w:bottom w:w="90" w:type="dxa"/>
              <w:right w:w="110" w:type="dxa"/>
            </w:tcMar>
            <w:vAlign w:val="center"/>
          </w:tcPr>
          <w:p w14:paraId="1C7972EC">
            <w:pPr>
              <w:spacing w:before="0" w:after="0" w:line="269" w:lineRule="auto"/>
            </w:pPr>
            <w:r>
              <w:rPr>
                <w:sz w:val="16"/>
              </w:rPr>
              <w:t>办理入住</w:t>
            </w:r>
          </w:p>
        </w:tc>
        <w:tc>
          <w:tcPr>
            <w:tcW w:w="3969" w:type="dxa"/>
            <w:shd w:val="clear" w:color="auto" w:fill="F3F7FA"/>
            <w:tcMar>
              <w:top w:w="90" w:type="dxa"/>
              <w:left w:w="110" w:type="dxa"/>
              <w:bottom w:w="90" w:type="dxa"/>
              <w:right w:w="110" w:type="dxa"/>
            </w:tcMar>
            <w:vAlign w:val="center"/>
          </w:tcPr>
          <w:p w14:paraId="7A3A847F">
            <w:pPr>
              <w:spacing w:before="0" w:after="0" w:line="269" w:lineRule="auto"/>
            </w:pPr>
            <w:r>
              <w:rPr>
                <w:sz w:val="16"/>
              </w:rPr>
              <w:t>按需介绍前台至电梯、房间方向、客房布局、开关和卫生间设施。</w:t>
            </w:r>
          </w:p>
        </w:tc>
        <w:tc>
          <w:tcPr>
            <w:tcW w:w="3005" w:type="dxa"/>
            <w:shd w:val="clear" w:color="auto" w:fill="F3F7FA"/>
            <w:tcMar>
              <w:top w:w="90" w:type="dxa"/>
              <w:left w:w="110" w:type="dxa"/>
              <w:bottom w:w="90" w:type="dxa"/>
              <w:right w:w="110" w:type="dxa"/>
            </w:tcMar>
            <w:vAlign w:val="center"/>
          </w:tcPr>
          <w:p w14:paraId="31FA0841">
            <w:pPr>
              <w:spacing w:before="0" w:after="0" w:line="269" w:lineRule="auto"/>
            </w:pPr>
            <w:r>
              <w:rPr>
                <w:sz w:val="16"/>
              </w:rPr>
              <w:t>先询问引导方式，不预设住客无法独立行动。</w:t>
            </w:r>
          </w:p>
        </w:tc>
      </w:tr>
      <w:tr w14:paraId="5601B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4" w:type="dxa"/>
            <w:tcMar>
              <w:top w:w="90" w:type="dxa"/>
              <w:left w:w="110" w:type="dxa"/>
              <w:bottom w:w="90" w:type="dxa"/>
              <w:right w:w="110" w:type="dxa"/>
            </w:tcMar>
            <w:vAlign w:val="center"/>
          </w:tcPr>
          <w:p w14:paraId="18126C8B">
            <w:pPr>
              <w:spacing w:before="0" w:after="0" w:line="269" w:lineRule="auto"/>
            </w:pPr>
            <w:r>
              <w:rPr>
                <w:sz w:val="16"/>
              </w:rPr>
              <w:t>客房安排</w:t>
            </w:r>
          </w:p>
        </w:tc>
        <w:tc>
          <w:tcPr>
            <w:tcW w:w="3969" w:type="dxa"/>
            <w:tcMar>
              <w:top w:w="90" w:type="dxa"/>
              <w:left w:w="110" w:type="dxa"/>
              <w:bottom w:w="90" w:type="dxa"/>
              <w:right w:w="110" w:type="dxa"/>
            </w:tcMar>
            <w:vAlign w:val="center"/>
          </w:tcPr>
          <w:p w14:paraId="15DAC553">
            <w:pPr>
              <w:spacing w:before="0" w:after="0" w:line="269" w:lineRule="auto"/>
            </w:pPr>
            <w:r>
              <w:rPr>
                <w:sz w:val="16"/>
              </w:rPr>
              <w:t>按订单正常排房；住客同意时，可提供靠近电梯或出入方便的房间。</w:t>
            </w:r>
          </w:p>
        </w:tc>
        <w:tc>
          <w:tcPr>
            <w:tcW w:w="3005" w:type="dxa"/>
            <w:tcMar>
              <w:top w:w="90" w:type="dxa"/>
              <w:left w:w="110" w:type="dxa"/>
              <w:bottom w:w="90" w:type="dxa"/>
              <w:right w:w="110" w:type="dxa"/>
            </w:tcMar>
            <w:vAlign w:val="center"/>
          </w:tcPr>
          <w:p w14:paraId="04D0B6CE">
            <w:pPr>
              <w:spacing w:before="0" w:after="0" w:line="269" w:lineRule="auto"/>
            </w:pPr>
            <w:r>
              <w:rPr>
                <w:sz w:val="16"/>
              </w:rPr>
              <w:t>不安排隔离性、边缘或更高价房型。</w:t>
            </w:r>
          </w:p>
        </w:tc>
      </w:tr>
      <w:tr w14:paraId="713CF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4" w:type="dxa"/>
            <w:shd w:val="clear" w:color="auto" w:fill="F3F7FA"/>
            <w:tcMar>
              <w:top w:w="90" w:type="dxa"/>
              <w:left w:w="110" w:type="dxa"/>
              <w:bottom w:w="90" w:type="dxa"/>
              <w:right w:w="110" w:type="dxa"/>
            </w:tcMar>
            <w:vAlign w:val="center"/>
          </w:tcPr>
          <w:p w14:paraId="1A263B1E">
            <w:pPr>
              <w:spacing w:before="0" w:after="0" w:line="269" w:lineRule="auto"/>
            </w:pPr>
            <w:r>
              <w:rPr>
                <w:sz w:val="16"/>
              </w:rPr>
              <w:t>犬只需求</w:t>
            </w:r>
          </w:p>
        </w:tc>
        <w:tc>
          <w:tcPr>
            <w:tcW w:w="3969" w:type="dxa"/>
            <w:shd w:val="clear" w:color="auto" w:fill="F3F7FA"/>
            <w:tcMar>
              <w:top w:w="90" w:type="dxa"/>
              <w:left w:w="110" w:type="dxa"/>
              <w:bottom w:w="90" w:type="dxa"/>
              <w:right w:w="110" w:type="dxa"/>
            </w:tcMar>
            <w:vAlign w:val="center"/>
          </w:tcPr>
          <w:p w14:paraId="47B6A0A0">
            <w:pPr>
              <w:spacing w:before="0" w:after="0" w:line="269" w:lineRule="auto"/>
            </w:pPr>
            <w:r>
              <w:rPr>
                <w:sz w:val="16"/>
              </w:rPr>
              <w:t>告知附近安全活动或排泄区域；住客需要时，可提供水盆、拾便袋等备用物品。</w:t>
            </w:r>
          </w:p>
        </w:tc>
        <w:tc>
          <w:tcPr>
            <w:tcW w:w="3005" w:type="dxa"/>
            <w:shd w:val="clear" w:color="auto" w:fill="F3F7FA"/>
            <w:tcMar>
              <w:top w:w="90" w:type="dxa"/>
              <w:left w:w="110" w:type="dxa"/>
              <w:bottom w:w="90" w:type="dxa"/>
              <w:right w:w="110" w:type="dxa"/>
            </w:tcMar>
            <w:vAlign w:val="center"/>
          </w:tcPr>
          <w:p w14:paraId="443CF2D7">
            <w:pPr>
              <w:spacing w:before="0" w:after="0" w:line="269" w:lineRule="auto"/>
            </w:pPr>
            <w:r>
              <w:rPr>
                <w:sz w:val="16"/>
              </w:rPr>
              <w:t>用品是可选支持，不作为接纳条件，也不额外收费。</w:t>
            </w:r>
          </w:p>
        </w:tc>
      </w:tr>
      <w:tr w14:paraId="74641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4" w:type="dxa"/>
            <w:tcMar>
              <w:top w:w="90" w:type="dxa"/>
              <w:left w:w="110" w:type="dxa"/>
              <w:bottom w:w="90" w:type="dxa"/>
              <w:right w:w="110" w:type="dxa"/>
            </w:tcMar>
            <w:vAlign w:val="center"/>
          </w:tcPr>
          <w:p w14:paraId="4BF64072">
            <w:pPr>
              <w:spacing w:before="0" w:after="0" w:line="269" w:lineRule="auto"/>
            </w:pPr>
            <w:r>
              <w:rPr>
                <w:sz w:val="16"/>
              </w:rPr>
              <w:t>保洁与损坏</w:t>
            </w:r>
          </w:p>
        </w:tc>
        <w:tc>
          <w:tcPr>
            <w:tcW w:w="3969" w:type="dxa"/>
            <w:tcMar>
              <w:top w:w="90" w:type="dxa"/>
              <w:left w:w="110" w:type="dxa"/>
              <w:bottom w:w="90" w:type="dxa"/>
              <w:right w:w="110" w:type="dxa"/>
            </w:tcMar>
            <w:vAlign w:val="center"/>
          </w:tcPr>
          <w:p w14:paraId="41134488">
            <w:pPr>
              <w:spacing w:before="0" w:after="0" w:line="269" w:lineRule="auto"/>
            </w:pPr>
            <w:r>
              <w:rPr>
                <w:sz w:val="16"/>
              </w:rPr>
              <w:t>按普通客房标准清洁；如发生实际损坏，按统一、可说明的住客规则处理。</w:t>
            </w:r>
          </w:p>
        </w:tc>
        <w:tc>
          <w:tcPr>
            <w:tcW w:w="3005" w:type="dxa"/>
            <w:tcMar>
              <w:top w:w="90" w:type="dxa"/>
              <w:left w:w="110" w:type="dxa"/>
              <w:bottom w:w="90" w:type="dxa"/>
              <w:right w:w="110" w:type="dxa"/>
            </w:tcMar>
            <w:vAlign w:val="center"/>
          </w:tcPr>
          <w:p w14:paraId="1B38FD8F">
            <w:pPr>
              <w:spacing w:before="0" w:after="0" w:line="269" w:lineRule="auto"/>
            </w:pPr>
            <w:r>
              <w:rPr>
                <w:sz w:val="16"/>
              </w:rPr>
              <w:t>不预收服务犬专属押金或清洁费。</w:t>
            </w:r>
          </w:p>
        </w:tc>
      </w:tr>
      <w:tr w14:paraId="00E1A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04" w:type="dxa"/>
            <w:shd w:val="clear" w:color="auto" w:fill="F3F7FA"/>
            <w:tcMar>
              <w:top w:w="90" w:type="dxa"/>
              <w:left w:w="110" w:type="dxa"/>
              <w:bottom w:w="90" w:type="dxa"/>
              <w:right w:w="110" w:type="dxa"/>
            </w:tcMar>
            <w:vAlign w:val="center"/>
          </w:tcPr>
          <w:p w14:paraId="3FB3E975">
            <w:pPr>
              <w:spacing w:before="0" w:after="0" w:line="269" w:lineRule="auto"/>
            </w:pPr>
            <w:r>
              <w:rPr>
                <w:sz w:val="16"/>
              </w:rPr>
              <w:t>应急信息</w:t>
            </w:r>
          </w:p>
        </w:tc>
        <w:tc>
          <w:tcPr>
            <w:tcW w:w="3969" w:type="dxa"/>
            <w:shd w:val="clear" w:color="auto" w:fill="F3F7FA"/>
            <w:tcMar>
              <w:top w:w="90" w:type="dxa"/>
              <w:left w:w="110" w:type="dxa"/>
              <w:bottom w:w="90" w:type="dxa"/>
              <w:right w:w="110" w:type="dxa"/>
            </w:tcMar>
            <w:vAlign w:val="center"/>
          </w:tcPr>
          <w:p w14:paraId="740FF68E">
            <w:pPr>
              <w:spacing w:before="0" w:after="0" w:line="269" w:lineRule="auto"/>
            </w:pPr>
            <w:r>
              <w:rPr>
                <w:sz w:val="16"/>
              </w:rPr>
              <w:t>说明消防疏散、紧急呼叫和夜间联系渠道；住客提出时安排人员协助。</w:t>
            </w:r>
          </w:p>
        </w:tc>
        <w:tc>
          <w:tcPr>
            <w:tcW w:w="3005" w:type="dxa"/>
            <w:shd w:val="clear" w:color="auto" w:fill="F3F7FA"/>
            <w:tcMar>
              <w:top w:w="90" w:type="dxa"/>
              <w:left w:w="110" w:type="dxa"/>
              <w:bottom w:w="90" w:type="dxa"/>
              <w:right w:w="110" w:type="dxa"/>
            </w:tcMar>
            <w:vAlign w:val="center"/>
          </w:tcPr>
          <w:p w14:paraId="2372A99D">
            <w:pPr>
              <w:spacing w:before="0" w:after="0" w:line="269" w:lineRule="auto"/>
            </w:pPr>
            <w:r>
              <w:rPr>
                <w:sz w:val="16"/>
              </w:rPr>
              <w:t>不公开房号或在系统添加与服务无关的标签。</w:t>
            </w:r>
          </w:p>
        </w:tc>
      </w:tr>
    </w:tbl>
    <w:p w14:paraId="6B01B2A3">
      <w:pPr>
        <w:pStyle w:val="5"/>
        <w:pageBreakBefore/>
      </w:pPr>
      <w:r>
        <w:t>工具5 客诉处理流程</w:t>
      </w:r>
    </w:p>
    <w:p w14:paraId="3B2F16AB">
      <w:pPr>
        <w:spacing w:before="120" w:after="120"/>
      </w:pPr>
      <w:r>
        <w:rPr>
          <w:b/>
          <w:color w:val="000000"/>
        </w:rPr>
        <w:t>处理顺序：</w:t>
      </w:r>
      <w:r>
        <w:t>确认具体需要；保障服务犬使用者继续通行和使用服务；提供座位、房间、楼层或动线调整；必要时转交值班经理处理；记录事实和后续处理。</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1"/>
        <w:gridCol w:w="4139"/>
        <w:gridCol w:w="2778"/>
      </w:tblGrid>
      <w:tr w14:paraId="4BFE9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361" w:type="dxa"/>
            <w:shd w:val="clear" w:color="auto" w:fill="DDEBF7"/>
            <w:tcMar>
              <w:top w:w="90" w:type="dxa"/>
              <w:left w:w="110" w:type="dxa"/>
              <w:bottom w:w="90" w:type="dxa"/>
              <w:right w:w="110" w:type="dxa"/>
            </w:tcMar>
            <w:vAlign w:val="center"/>
          </w:tcPr>
          <w:p w14:paraId="18858274">
            <w:pPr>
              <w:keepNext/>
              <w:spacing w:before="0" w:after="0" w:line="269" w:lineRule="auto"/>
            </w:pPr>
            <w:r>
              <w:rPr>
                <w:b/>
                <w:color w:val="17365D"/>
                <w:sz w:val="16"/>
              </w:rPr>
              <w:t>场景</w:t>
            </w:r>
          </w:p>
        </w:tc>
        <w:tc>
          <w:tcPr>
            <w:tcW w:w="4139" w:type="dxa"/>
            <w:shd w:val="clear" w:color="auto" w:fill="DDEBF7"/>
            <w:tcMar>
              <w:top w:w="90" w:type="dxa"/>
              <w:left w:w="110" w:type="dxa"/>
              <w:bottom w:w="90" w:type="dxa"/>
              <w:right w:w="110" w:type="dxa"/>
            </w:tcMar>
            <w:vAlign w:val="center"/>
          </w:tcPr>
          <w:p w14:paraId="54EA57EF">
            <w:pPr>
              <w:keepNext/>
              <w:spacing w:before="0" w:after="0" w:line="269" w:lineRule="auto"/>
            </w:pPr>
            <w:r>
              <w:rPr>
                <w:b/>
                <w:color w:val="17365D"/>
                <w:sz w:val="16"/>
              </w:rPr>
              <w:t>处理要点</w:t>
            </w:r>
          </w:p>
        </w:tc>
        <w:tc>
          <w:tcPr>
            <w:tcW w:w="2778" w:type="dxa"/>
            <w:shd w:val="clear" w:color="auto" w:fill="DDEBF7"/>
            <w:tcMar>
              <w:top w:w="90" w:type="dxa"/>
              <w:left w:w="110" w:type="dxa"/>
              <w:bottom w:w="90" w:type="dxa"/>
              <w:right w:w="110" w:type="dxa"/>
            </w:tcMar>
            <w:vAlign w:val="center"/>
          </w:tcPr>
          <w:p w14:paraId="3D3C43B7">
            <w:pPr>
              <w:keepNext/>
              <w:spacing w:before="0" w:after="0" w:line="269" w:lineRule="auto"/>
            </w:pPr>
            <w:r>
              <w:rPr>
                <w:b/>
                <w:color w:val="17365D"/>
                <w:sz w:val="16"/>
              </w:rPr>
              <w:t>避免</w:t>
            </w:r>
          </w:p>
        </w:tc>
      </w:tr>
      <w:tr w14:paraId="7A7A9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1" w:type="dxa"/>
            <w:tcMar>
              <w:top w:w="90" w:type="dxa"/>
              <w:left w:w="110" w:type="dxa"/>
              <w:bottom w:w="90" w:type="dxa"/>
              <w:right w:w="110" w:type="dxa"/>
            </w:tcMar>
            <w:vAlign w:val="center"/>
          </w:tcPr>
          <w:p w14:paraId="02450032">
            <w:pPr>
              <w:spacing w:before="0" w:after="0" w:line="269" w:lineRule="auto"/>
            </w:pPr>
            <w:r>
              <w:rPr>
                <w:sz w:val="16"/>
              </w:rPr>
              <w:t>恐惧或一般疑虑</w:t>
            </w:r>
          </w:p>
        </w:tc>
        <w:tc>
          <w:tcPr>
            <w:tcW w:w="4139" w:type="dxa"/>
            <w:tcMar>
              <w:top w:w="90" w:type="dxa"/>
              <w:left w:w="110" w:type="dxa"/>
              <w:bottom w:w="90" w:type="dxa"/>
              <w:right w:w="110" w:type="dxa"/>
            </w:tcMar>
            <w:vAlign w:val="center"/>
          </w:tcPr>
          <w:p w14:paraId="2C2542A6">
            <w:pPr>
              <w:spacing w:before="0" w:after="0" w:line="269" w:lineRule="auto"/>
            </w:pPr>
            <w:r>
              <w:rPr>
                <w:sz w:val="16"/>
              </w:rPr>
              <w:t>说明导盲犬正在工作和相处原则；向提出需求的住客提供距离、座位或动线调整。</w:t>
            </w:r>
          </w:p>
        </w:tc>
        <w:tc>
          <w:tcPr>
            <w:tcW w:w="2778" w:type="dxa"/>
            <w:tcMar>
              <w:top w:w="90" w:type="dxa"/>
              <w:left w:w="110" w:type="dxa"/>
              <w:bottom w:w="90" w:type="dxa"/>
              <w:right w:w="110" w:type="dxa"/>
            </w:tcMar>
            <w:vAlign w:val="center"/>
          </w:tcPr>
          <w:p w14:paraId="2C7AB4E6">
            <w:pPr>
              <w:spacing w:before="0" w:after="0" w:line="269" w:lineRule="auto"/>
            </w:pPr>
            <w:r>
              <w:rPr>
                <w:sz w:val="16"/>
              </w:rPr>
              <w:t>要求视障住客回房、离场或自行说服其他客人。</w:t>
            </w:r>
          </w:p>
        </w:tc>
      </w:tr>
      <w:tr w14:paraId="20D39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1" w:type="dxa"/>
            <w:shd w:val="clear" w:color="auto" w:fill="F3F7FA"/>
            <w:tcMar>
              <w:top w:w="90" w:type="dxa"/>
              <w:left w:w="110" w:type="dxa"/>
              <w:bottom w:w="90" w:type="dxa"/>
              <w:right w:w="110" w:type="dxa"/>
            </w:tcMar>
            <w:vAlign w:val="center"/>
          </w:tcPr>
          <w:p w14:paraId="4BF8EA21">
            <w:pPr>
              <w:spacing w:before="0" w:after="0" w:line="269" w:lineRule="auto"/>
            </w:pPr>
            <w:r>
              <w:rPr>
                <w:sz w:val="16"/>
              </w:rPr>
              <w:t>过敏等健康需求</w:t>
            </w:r>
          </w:p>
        </w:tc>
        <w:tc>
          <w:tcPr>
            <w:tcW w:w="4139" w:type="dxa"/>
            <w:shd w:val="clear" w:color="auto" w:fill="F3F7FA"/>
            <w:tcMar>
              <w:top w:w="90" w:type="dxa"/>
              <w:left w:w="110" w:type="dxa"/>
              <w:bottom w:w="90" w:type="dxa"/>
              <w:right w:w="110" w:type="dxa"/>
            </w:tcMar>
            <w:vAlign w:val="center"/>
          </w:tcPr>
          <w:p w14:paraId="273AC6F0">
            <w:pPr>
              <w:spacing w:before="0" w:after="0" w:line="269" w:lineRule="auto"/>
            </w:pPr>
            <w:r>
              <w:rPr>
                <w:sz w:val="16"/>
              </w:rPr>
              <w:t>了解影响范围和紧迫程度；通过房间、座位、通风、清洁或空气净化等方式降低接触。</w:t>
            </w:r>
          </w:p>
        </w:tc>
        <w:tc>
          <w:tcPr>
            <w:tcW w:w="2778" w:type="dxa"/>
            <w:shd w:val="clear" w:color="auto" w:fill="F3F7FA"/>
            <w:tcMar>
              <w:top w:w="90" w:type="dxa"/>
              <w:left w:w="110" w:type="dxa"/>
              <w:bottom w:w="90" w:type="dxa"/>
              <w:right w:w="110" w:type="dxa"/>
            </w:tcMar>
            <w:vAlign w:val="center"/>
          </w:tcPr>
          <w:p w14:paraId="14EE9B97">
            <w:pPr>
              <w:spacing w:before="0" w:after="0" w:line="269" w:lineRule="auto"/>
            </w:pPr>
            <w:r>
              <w:rPr>
                <w:sz w:val="16"/>
              </w:rPr>
              <w:t>未经核实便把一方需求置于另一方之上。</w:t>
            </w:r>
          </w:p>
        </w:tc>
      </w:tr>
      <w:tr w14:paraId="6B7F3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1" w:type="dxa"/>
            <w:tcMar>
              <w:top w:w="90" w:type="dxa"/>
              <w:left w:w="110" w:type="dxa"/>
              <w:bottom w:w="90" w:type="dxa"/>
              <w:right w:w="110" w:type="dxa"/>
            </w:tcMar>
            <w:vAlign w:val="center"/>
          </w:tcPr>
          <w:p w14:paraId="71700E15">
            <w:pPr>
              <w:spacing w:before="0" w:after="0" w:line="269" w:lineRule="auto"/>
            </w:pPr>
            <w:r>
              <w:rPr>
                <w:sz w:val="16"/>
              </w:rPr>
              <w:t>卫生或设施事件</w:t>
            </w:r>
          </w:p>
        </w:tc>
        <w:tc>
          <w:tcPr>
            <w:tcW w:w="4139" w:type="dxa"/>
            <w:tcMar>
              <w:top w:w="90" w:type="dxa"/>
              <w:left w:w="110" w:type="dxa"/>
              <w:bottom w:w="90" w:type="dxa"/>
              <w:right w:w="110" w:type="dxa"/>
            </w:tcMar>
            <w:vAlign w:val="center"/>
          </w:tcPr>
          <w:p w14:paraId="72D93ED3">
            <w:pPr>
              <w:spacing w:before="0" w:after="0" w:line="269" w:lineRule="auto"/>
            </w:pPr>
            <w:r>
              <w:rPr>
                <w:sz w:val="16"/>
              </w:rPr>
              <w:t>处理已经发生的具体问题，记录地点、事实和实际损失，适用统一规则。</w:t>
            </w:r>
          </w:p>
        </w:tc>
        <w:tc>
          <w:tcPr>
            <w:tcW w:w="2778" w:type="dxa"/>
            <w:tcMar>
              <w:top w:w="90" w:type="dxa"/>
              <w:left w:w="110" w:type="dxa"/>
              <w:bottom w:w="90" w:type="dxa"/>
              <w:right w:w="110" w:type="dxa"/>
            </w:tcMar>
            <w:vAlign w:val="center"/>
          </w:tcPr>
          <w:p w14:paraId="134C26F5">
            <w:pPr>
              <w:spacing w:before="0" w:after="0" w:line="269" w:lineRule="auto"/>
            </w:pPr>
            <w:r>
              <w:rPr>
                <w:sz w:val="16"/>
              </w:rPr>
              <w:t>因想象中的风险预先收费、隔离或拒绝。</w:t>
            </w:r>
          </w:p>
        </w:tc>
      </w:tr>
      <w:tr w14:paraId="1C21E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361" w:type="dxa"/>
            <w:shd w:val="clear" w:color="auto" w:fill="F3F7FA"/>
            <w:tcMar>
              <w:top w:w="90" w:type="dxa"/>
              <w:left w:w="110" w:type="dxa"/>
              <w:bottom w:w="90" w:type="dxa"/>
              <w:right w:w="110" w:type="dxa"/>
            </w:tcMar>
            <w:vAlign w:val="center"/>
          </w:tcPr>
          <w:p w14:paraId="09EEA0A3">
            <w:pPr>
              <w:spacing w:before="0" w:after="0" w:line="269" w:lineRule="auto"/>
            </w:pPr>
            <w:r>
              <w:rPr>
                <w:sz w:val="16"/>
              </w:rPr>
              <w:t>总部客诉或门店争议</w:t>
            </w:r>
          </w:p>
        </w:tc>
        <w:tc>
          <w:tcPr>
            <w:tcW w:w="4139" w:type="dxa"/>
            <w:shd w:val="clear" w:color="auto" w:fill="F3F7FA"/>
            <w:tcMar>
              <w:top w:w="90" w:type="dxa"/>
              <w:left w:w="110" w:type="dxa"/>
              <w:bottom w:w="90" w:type="dxa"/>
              <w:right w:w="110" w:type="dxa"/>
            </w:tcMar>
            <w:vAlign w:val="center"/>
          </w:tcPr>
          <w:p w14:paraId="22953B99">
            <w:pPr>
              <w:spacing w:before="0" w:after="0" w:line="269" w:lineRule="auto"/>
            </w:pPr>
            <w:r>
              <w:rPr>
                <w:sz w:val="16"/>
              </w:rPr>
              <w:t>保留门店依据的政策版本和处理记录，交由集团复核；把规则冲突反馈给制度责任部门。</w:t>
            </w:r>
          </w:p>
        </w:tc>
        <w:tc>
          <w:tcPr>
            <w:tcW w:w="2778" w:type="dxa"/>
            <w:shd w:val="clear" w:color="auto" w:fill="F3F7FA"/>
            <w:tcMar>
              <w:top w:w="90" w:type="dxa"/>
              <w:left w:w="110" w:type="dxa"/>
              <w:bottom w:w="90" w:type="dxa"/>
              <w:right w:w="110" w:type="dxa"/>
            </w:tcMar>
            <w:vAlign w:val="center"/>
          </w:tcPr>
          <w:p w14:paraId="521C20C4">
            <w:pPr>
              <w:spacing w:before="0" w:after="0" w:line="269" w:lineRule="auto"/>
            </w:pPr>
            <w:r>
              <w:rPr>
                <w:sz w:val="16"/>
              </w:rPr>
              <w:t>让一线员工因依法接待而承担不清晰的内部处罚。</w:t>
            </w:r>
          </w:p>
        </w:tc>
      </w:tr>
    </w:tbl>
    <w:p w14:paraId="5B3F7945">
      <w:pPr>
        <w:pStyle w:val="5"/>
        <w:pageBreakBefore/>
      </w:pPr>
      <w:r>
        <w:t>工具6 可印制物料文案与制作说明</w:t>
      </w:r>
    </w:p>
    <w:p w14:paraId="2D1C211D">
      <w:pPr>
        <w:pStyle w:val="6"/>
      </w:pPr>
      <w:r>
        <w:t>1. 入口和前台标识</w:t>
      </w:r>
    </w:p>
    <w:p w14:paraId="2B2F0F3B">
      <w:pPr>
        <w:pStyle w:val="185"/>
      </w:pPr>
      <w:r>
        <w:t>本酒店依法为残疾人携带导盲犬等服务犬提供便利。服务犬不适用普通宠物政策。需要协助或希望了解核验要求，请联系前台。</w:t>
      </w:r>
    </w:p>
    <w:p w14:paraId="47681F07">
      <w:pPr>
        <w:pStyle w:val="6"/>
      </w:pPr>
      <w:r>
        <w:t>2. 预订页面特别说明</w:t>
      </w:r>
    </w:p>
    <w:p w14:paraId="007B2C29">
      <w:pPr>
        <w:pStyle w:val="185"/>
      </w:pPr>
      <w:r>
        <w:t>视障住客可依法携带导盲犬入住。酒店按照适用规定核验必要材料，不收取服务犬附加清洁费或宠物押金。需要确认到店协助时，可通过页面所示渠道联系前台。</w:t>
      </w:r>
    </w:p>
    <w:p w14:paraId="1059C17E">
      <w:pPr>
        <w:pStyle w:val="6"/>
      </w:pPr>
      <w:r>
        <w:t>3. 前台屏幕提示</w:t>
      </w:r>
    </w:p>
    <w:p w14:paraId="5E60B2C6">
      <w:pPr>
        <w:pStyle w:val="185"/>
      </w:pPr>
      <w:r>
        <w:t>先查政策、后答复；需要确认时，由首次接听人发起内部查询并按时回访。正常收费、正常排房、按需协助。</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1"/>
        <w:gridCol w:w="6746"/>
      </w:tblGrid>
      <w:tr w14:paraId="5A62D6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blHeader/>
          <w:jc w:val="center"/>
        </w:trPr>
        <w:tc>
          <w:tcPr>
            <w:tcW w:w="1531" w:type="dxa"/>
            <w:shd w:val="clear" w:color="auto" w:fill="DDEBF7"/>
            <w:tcMar>
              <w:top w:w="90" w:type="dxa"/>
              <w:left w:w="110" w:type="dxa"/>
              <w:bottom w:w="90" w:type="dxa"/>
              <w:right w:w="110" w:type="dxa"/>
            </w:tcMar>
            <w:vAlign w:val="center"/>
          </w:tcPr>
          <w:p w14:paraId="3EB73D85">
            <w:pPr>
              <w:keepNext/>
              <w:spacing w:before="0" w:after="0" w:line="269" w:lineRule="auto"/>
            </w:pPr>
            <w:r>
              <w:rPr>
                <w:b/>
                <w:color w:val="17365D"/>
                <w:sz w:val="16"/>
              </w:rPr>
              <w:t>制作项目</w:t>
            </w:r>
          </w:p>
        </w:tc>
        <w:tc>
          <w:tcPr>
            <w:tcW w:w="6746" w:type="dxa"/>
            <w:shd w:val="clear" w:color="auto" w:fill="DDEBF7"/>
            <w:tcMar>
              <w:top w:w="90" w:type="dxa"/>
              <w:left w:w="110" w:type="dxa"/>
              <w:bottom w:w="90" w:type="dxa"/>
              <w:right w:w="110" w:type="dxa"/>
            </w:tcMar>
            <w:vAlign w:val="center"/>
          </w:tcPr>
          <w:p w14:paraId="16BFE28C">
            <w:pPr>
              <w:keepNext/>
              <w:spacing w:before="0" w:after="0" w:line="269" w:lineRule="auto"/>
            </w:pPr>
            <w:r>
              <w:rPr>
                <w:b/>
                <w:color w:val="17365D"/>
                <w:sz w:val="16"/>
              </w:rPr>
              <w:t>建议规格</w:t>
            </w:r>
          </w:p>
        </w:tc>
      </w:tr>
      <w:tr w14:paraId="598B3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31" w:type="dxa"/>
            <w:tcMar>
              <w:top w:w="90" w:type="dxa"/>
              <w:left w:w="110" w:type="dxa"/>
              <w:bottom w:w="90" w:type="dxa"/>
              <w:right w:w="110" w:type="dxa"/>
            </w:tcMar>
            <w:vAlign w:val="center"/>
          </w:tcPr>
          <w:p w14:paraId="1CC8C49A">
            <w:pPr>
              <w:spacing w:before="0" w:after="0" w:line="269" w:lineRule="auto"/>
            </w:pPr>
            <w:r>
              <w:rPr>
                <w:sz w:val="16"/>
              </w:rPr>
              <w:t>版式</w:t>
            </w:r>
          </w:p>
        </w:tc>
        <w:tc>
          <w:tcPr>
            <w:tcW w:w="6746" w:type="dxa"/>
            <w:tcMar>
              <w:top w:w="90" w:type="dxa"/>
              <w:left w:w="110" w:type="dxa"/>
              <w:bottom w:w="90" w:type="dxa"/>
              <w:right w:w="110" w:type="dxa"/>
            </w:tcMar>
            <w:vAlign w:val="center"/>
          </w:tcPr>
          <w:p w14:paraId="5D2B19D7">
            <w:pPr>
              <w:spacing w:before="0" w:after="0" w:line="269" w:lineRule="auto"/>
            </w:pPr>
            <w:r>
              <w:rPr>
                <w:sz w:val="16"/>
              </w:rPr>
              <w:t>优先A5台卡、A4告示或屏幕卡片；一句核心信息配3—5条行动提示。</w:t>
            </w:r>
          </w:p>
        </w:tc>
      </w:tr>
      <w:tr w14:paraId="4229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31" w:type="dxa"/>
            <w:shd w:val="clear" w:color="auto" w:fill="F3F7FA"/>
            <w:tcMar>
              <w:top w:w="90" w:type="dxa"/>
              <w:left w:w="110" w:type="dxa"/>
              <w:bottom w:w="90" w:type="dxa"/>
              <w:right w:w="110" w:type="dxa"/>
            </w:tcMar>
            <w:vAlign w:val="center"/>
          </w:tcPr>
          <w:p w14:paraId="4D72A048">
            <w:pPr>
              <w:spacing w:before="0" w:after="0" w:line="269" w:lineRule="auto"/>
            </w:pPr>
            <w:r>
              <w:rPr>
                <w:sz w:val="16"/>
              </w:rPr>
              <w:t>可读性</w:t>
            </w:r>
          </w:p>
        </w:tc>
        <w:tc>
          <w:tcPr>
            <w:tcW w:w="6746" w:type="dxa"/>
            <w:shd w:val="clear" w:color="auto" w:fill="F3F7FA"/>
            <w:tcMar>
              <w:top w:w="90" w:type="dxa"/>
              <w:left w:w="110" w:type="dxa"/>
              <w:bottom w:w="90" w:type="dxa"/>
              <w:right w:w="110" w:type="dxa"/>
            </w:tcMar>
            <w:vAlign w:val="center"/>
          </w:tcPr>
          <w:p w14:paraId="417BB708">
            <w:pPr>
              <w:spacing w:before="0" w:after="0" w:line="269" w:lineRule="auto"/>
            </w:pPr>
            <w:r>
              <w:rPr>
                <w:sz w:val="16"/>
              </w:rPr>
              <w:t>正文印刷字号原则上不小于12磅，前台远距离标识应更大；文字与背景保持高对比度。</w:t>
            </w:r>
          </w:p>
        </w:tc>
      </w:tr>
      <w:tr w14:paraId="4EE96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31" w:type="dxa"/>
            <w:tcMar>
              <w:top w:w="90" w:type="dxa"/>
              <w:left w:w="110" w:type="dxa"/>
              <w:bottom w:w="90" w:type="dxa"/>
              <w:right w:w="110" w:type="dxa"/>
            </w:tcMar>
            <w:vAlign w:val="center"/>
          </w:tcPr>
          <w:p w14:paraId="50602401">
            <w:pPr>
              <w:spacing w:before="0" w:after="0" w:line="269" w:lineRule="auto"/>
            </w:pPr>
            <w:r>
              <w:rPr>
                <w:sz w:val="16"/>
              </w:rPr>
              <w:t>图形</w:t>
            </w:r>
          </w:p>
        </w:tc>
        <w:tc>
          <w:tcPr>
            <w:tcW w:w="6746" w:type="dxa"/>
            <w:tcMar>
              <w:top w:w="90" w:type="dxa"/>
              <w:left w:w="110" w:type="dxa"/>
              <w:bottom w:w="90" w:type="dxa"/>
              <w:right w:w="110" w:type="dxa"/>
            </w:tcMar>
            <w:vAlign w:val="center"/>
          </w:tcPr>
          <w:p w14:paraId="13521481">
            <w:pPr>
              <w:spacing w:before="0" w:after="0" w:line="269" w:lineRule="auto"/>
            </w:pPr>
            <w:r>
              <w:rPr>
                <w:sz w:val="16"/>
              </w:rPr>
              <w:t>图标必须配文字，不用图标单独承担政策含义；不使用普通宠物图标代替服务犬。</w:t>
            </w:r>
          </w:p>
        </w:tc>
      </w:tr>
      <w:tr w14:paraId="077B1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31" w:type="dxa"/>
            <w:shd w:val="clear" w:color="auto" w:fill="F3F7FA"/>
            <w:tcMar>
              <w:top w:w="90" w:type="dxa"/>
              <w:left w:w="110" w:type="dxa"/>
              <w:bottom w:w="90" w:type="dxa"/>
              <w:right w:w="110" w:type="dxa"/>
            </w:tcMar>
            <w:vAlign w:val="center"/>
          </w:tcPr>
          <w:p w14:paraId="6A167543">
            <w:pPr>
              <w:spacing w:before="0" w:after="0" w:line="269" w:lineRule="auto"/>
            </w:pPr>
            <w:r>
              <w:rPr>
                <w:sz w:val="16"/>
              </w:rPr>
              <w:t>数字无障碍</w:t>
            </w:r>
          </w:p>
        </w:tc>
        <w:tc>
          <w:tcPr>
            <w:tcW w:w="6746" w:type="dxa"/>
            <w:shd w:val="clear" w:color="auto" w:fill="F3F7FA"/>
            <w:tcMar>
              <w:top w:w="90" w:type="dxa"/>
              <w:left w:w="110" w:type="dxa"/>
              <w:bottom w:w="90" w:type="dxa"/>
              <w:right w:w="110" w:type="dxa"/>
            </w:tcMar>
            <w:vAlign w:val="center"/>
          </w:tcPr>
          <w:p w14:paraId="7A9D816C">
            <w:pPr>
              <w:spacing w:before="0" w:after="0" w:line="269" w:lineRule="auto"/>
            </w:pPr>
            <w:r>
              <w:rPr>
                <w:sz w:val="16"/>
              </w:rPr>
              <w:t>同步提供可复制文本；二维码只作补充，不作为唯一信息入口。图片发布时填写替代文字。</w:t>
            </w:r>
          </w:p>
        </w:tc>
      </w:tr>
      <w:tr w14:paraId="4C6CF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31" w:type="dxa"/>
            <w:tcMar>
              <w:top w:w="90" w:type="dxa"/>
              <w:left w:w="110" w:type="dxa"/>
              <w:bottom w:w="90" w:type="dxa"/>
              <w:right w:w="110" w:type="dxa"/>
            </w:tcMar>
            <w:vAlign w:val="center"/>
          </w:tcPr>
          <w:p w14:paraId="181FE4D9">
            <w:pPr>
              <w:spacing w:before="0" w:after="0" w:line="269" w:lineRule="auto"/>
            </w:pPr>
            <w:r>
              <w:rPr>
                <w:sz w:val="16"/>
              </w:rPr>
              <w:t>版本控制</w:t>
            </w:r>
          </w:p>
        </w:tc>
        <w:tc>
          <w:tcPr>
            <w:tcW w:w="6746" w:type="dxa"/>
            <w:tcMar>
              <w:top w:w="90" w:type="dxa"/>
              <w:left w:w="110" w:type="dxa"/>
              <w:bottom w:w="90" w:type="dxa"/>
              <w:right w:w="110" w:type="dxa"/>
            </w:tcMar>
            <w:vAlign w:val="center"/>
          </w:tcPr>
          <w:p w14:paraId="1A9B21D1">
            <w:pPr>
              <w:spacing w:before="0" w:after="0" w:line="269" w:lineRule="auto"/>
            </w:pPr>
            <w:r>
              <w:rPr>
                <w:sz w:val="16"/>
              </w:rPr>
              <w:t>标注发布部门、生效日期和版本号；官网、平台、客服和门店物料同步更新。</w:t>
            </w:r>
          </w:p>
        </w:tc>
      </w:tr>
      <w:tr w14:paraId="428E9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531" w:type="dxa"/>
            <w:shd w:val="clear" w:color="auto" w:fill="F3F7FA"/>
            <w:tcMar>
              <w:top w:w="90" w:type="dxa"/>
              <w:left w:w="110" w:type="dxa"/>
              <w:bottom w:w="90" w:type="dxa"/>
              <w:right w:w="110" w:type="dxa"/>
            </w:tcMar>
            <w:vAlign w:val="center"/>
          </w:tcPr>
          <w:p w14:paraId="0C894086">
            <w:pPr>
              <w:spacing w:before="0" w:after="0" w:line="269" w:lineRule="auto"/>
            </w:pPr>
            <w:r>
              <w:rPr>
                <w:sz w:val="16"/>
              </w:rPr>
              <w:t>隐私</w:t>
            </w:r>
          </w:p>
        </w:tc>
        <w:tc>
          <w:tcPr>
            <w:tcW w:w="6746" w:type="dxa"/>
            <w:shd w:val="clear" w:color="auto" w:fill="F3F7FA"/>
            <w:tcMar>
              <w:top w:w="90" w:type="dxa"/>
              <w:left w:w="110" w:type="dxa"/>
              <w:bottom w:w="90" w:type="dxa"/>
              <w:right w:w="110" w:type="dxa"/>
            </w:tcMar>
            <w:vAlign w:val="center"/>
          </w:tcPr>
          <w:p w14:paraId="087D1B57">
            <w:pPr>
              <w:spacing w:before="0" w:after="0" w:line="269" w:lineRule="auto"/>
            </w:pPr>
            <w:r>
              <w:rPr>
                <w:sz w:val="16"/>
              </w:rPr>
              <w:t>物料只说明一般政策，不标示具体住客的房号、楼层、残障信息或活动安排。</w:t>
            </w:r>
          </w:p>
        </w:tc>
      </w:tr>
    </w:tbl>
    <w:p w14:paraId="56BDC849">
      <w:pPr>
        <w:pStyle w:val="4"/>
        <w:numPr>
          <w:ilvl w:val="1"/>
          <w:numId w:val="1"/>
        </w:numPr>
      </w:pPr>
      <w:bookmarkStart w:id="71" w:name="_Toc240635855"/>
      <w:bookmarkStart w:id="72" w:name="_Toc239432629"/>
      <w:r>
        <w:rPr>
          <w:rFonts w:ascii="Times New Roman" w:hAnsi="Times New Roman" w:eastAsia="黑体"/>
        </w:rPr>
        <w:t>七 后续研究方向</w:t>
      </w:r>
      <w:bookmarkEnd w:id="71"/>
      <w:bookmarkEnd w:id="72"/>
    </w:p>
    <w:p w14:paraId="49B96ADE">
      <w:pPr>
        <w:numPr>
          <w:ilvl w:val="0"/>
          <w:numId w:val="1"/>
        </w:numPr>
        <w:spacing w:before="40" w:after="80" w:line="324" w:lineRule="auto"/>
      </w:pPr>
      <w:r>
        <w:t>通过真实预订和入住过程验证电话咨询结果。</w:t>
      </w:r>
    </w:p>
    <w:p w14:paraId="69459206">
      <w:pPr>
        <w:numPr>
          <w:ilvl w:val="0"/>
          <w:numId w:val="1"/>
        </w:numPr>
        <w:spacing w:before="40" w:after="80" w:line="324" w:lineRule="auto"/>
      </w:pPr>
      <w:r>
        <w:t>扩大品牌、城市和酒店类型覆盖，并保持不同阶段样本口径一致。</w:t>
      </w:r>
    </w:p>
    <w:p w14:paraId="2CFFE60B">
      <w:pPr>
        <w:numPr>
          <w:ilvl w:val="0"/>
          <w:numId w:val="1"/>
        </w:numPr>
        <w:spacing w:before="40" w:after="80" w:line="324" w:lineRule="auto"/>
      </w:pPr>
      <w:r>
        <w:t>跟踪酒店总部政策、平台标注和员工培训的实际改进效果。</w:t>
      </w:r>
    </w:p>
    <w:p w14:paraId="7029031E">
      <w:pPr>
        <w:numPr>
          <w:ilvl w:val="0"/>
          <w:numId w:val="1"/>
        </w:numPr>
        <w:spacing w:before="40" w:after="80" w:line="324" w:lineRule="auto"/>
      </w:pPr>
      <w:r>
        <w:t>建立由导盲犬使用者和其他残障者共同参与的持续评估机制。</w:t>
      </w:r>
    </w:p>
    <w:p w14:paraId="70698EE8"/>
    <w:p w14:paraId="73476049">
      <w:pPr>
        <w:pStyle w:val="4"/>
        <w:pageBreakBefore/>
      </w:pPr>
      <w:bookmarkStart w:id="73" w:name="_Toc240635856"/>
      <w:bookmarkStart w:id="74" w:name="_Toc239432634"/>
      <w:r>
        <w:t>八 参考资料</w:t>
      </w:r>
      <w:bookmarkEnd w:id="73"/>
      <w:bookmarkEnd w:id="74"/>
    </w:p>
    <w:p w14:paraId="1445D84B">
      <w:pPr>
        <w:pStyle w:val="5"/>
      </w:pPr>
      <w:r>
        <w:t>（一）法律与政策</w:t>
      </w:r>
    </w:p>
    <w:p w14:paraId="56876DD1">
      <w:pPr>
        <w:pStyle w:val="16"/>
        <w:jc w:val="left"/>
      </w:pPr>
      <w:r>
        <w:t>全国人民代表大会常务委员会：《中华人民共和国无障碍环境建设法》，2023年6月28日通过，2023年9月1日起施行。中国政府网：https://www.gov.cn/yaowen/liebiao/202306/content_6888910.htm</w:t>
      </w:r>
    </w:p>
    <w:p w14:paraId="248CCA16">
      <w:pPr>
        <w:pStyle w:val="16"/>
        <w:jc w:val="left"/>
      </w:pPr>
      <w:r>
        <w:t>全国人民代表大会常务委员会：《中华人民共和国残疾人保障法》，2018年修正，参见第五十八条。中国政府网：https://www.gov.cn/guoqing/2021-10/29/content_5647618.htm</w:t>
      </w:r>
    </w:p>
    <w:p w14:paraId="48317BB1">
      <w:pPr>
        <w:pStyle w:val="16"/>
        <w:jc w:val="left"/>
      </w:pPr>
      <w:r>
        <w:t>国务院：《无障碍环境建设条例》，国务院令第622号，2012年6月28日公布，2012年8月1日起施行，参见第十六条。</w:t>
      </w:r>
    </w:p>
    <w:p w14:paraId="2D631D01">
      <w:pPr>
        <w:pStyle w:val="16"/>
        <w:jc w:val="left"/>
      </w:pPr>
      <w:r>
        <w:t>全国人民代表大会常务委员会：《中华人民共和国消费者权益保护法》，2013年修正，2014年3月15日起施行，参见第十</w:t>
      </w:r>
      <w:bookmarkStart w:id="75" w:name="_GoBack"/>
      <w:bookmarkEnd w:id="75"/>
      <w:r>
        <w:t>四条、第十六条、第二十六条。</w:t>
      </w:r>
    </w:p>
    <w:p w14:paraId="4E5C71D3">
      <w:pPr>
        <w:pStyle w:val="5"/>
      </w:pPr>
      <w:r>
        <w:t>（二）行业与方法资料</w:t>
      </w:r>
    </w:p>
    <w:p w14:paraId="4B8789E9">
      <w:pPr>
        <w:pStyle w:val="16"/>
        <w:jc w:val="left"/>
      </w:pPr>
      <w:commentRangeStart w:id="3"/>
      <w:r>
        <w:t>《2022中国酒店集团及品牌发展报告》：用于选择调研品牌。</w:t>
      </w:r>
      <w:commentRangeEnd w:id="3"/>
      <w:r>
        <w:rPr>
          <w:rStyle w:val="141"/>
          <w:szCs w:val="22"/>
        </w:rPr>
        <w:commentReference w:id="3"/>
      </w:r>
    </w:p>
    <w:p w14:paraId="29C29CD1">
      <w:pPr>
        <w:pStyle w:val="16"/>
        <w:jc w:val="left"/>
      </w:pPr>
      <w:r>
        <w:t>International Guide Dog Federation（IGDF）：导盲犬工作属性、公众相处原则和公共空间使用相关资料，https://www.igdf.org.uk/（访问日期：2026年9月4日）。</w:t>
      </w:r>
    </w:p>
    <w:p w14:paraId="2A06CA5B">
      <w:pPr>
        <w:pStyle w:val="16"/>
        <w:jc w:val="left"/>
      </w:pPr>
      <w:r>
        <w:t>项目原始数据：《20260523 原始数据.xlsx》，工作表“下拉菜单表格”，558条门店记录；用于复核门店结果、独立通话次数和答复方。</w:t>
      </w:r>
    </w:p>
    <w:p w14:paraId="618DC306">
      <w:pPr>
        <w:pStyle w:val="16"/>
        <w:jc w:val="left"/>
      </w:pPr>
      <w:r>
        <w:t>项目转写与编码资料：891条可编码回应及1344次拒绝理由标签出现；用于原因结构分析，编码规则列于“导盲犬认知担忧与拒绝理由编码”。</w:t>
      </w:r>
    </w:p>
    <w:p w14:paraId="3D89859A">
      <w:pPr>
        <w:rPr>
          <w:lang w:eastAsia="zh-CN"/>
        </w:rPr>
      </w:pPr>
      <w:r>
        <w:t>正文电话案例来源：S28，广州格林豪泰番禺广场店；S07，广州7天东风东路杨箕地铁站店；S11，贵阳如家火车站鸿通城购物中心店；S21，长春格林豪泰和平大街地铁站店及对应总部回电；S09，宁波城市便捷慈溪爱琴海孙塘北路店。案例转述依据对应录音的转写稿与工作表记录整理。</w:t>
      </w:r>
    </w:p>
    <w:p w14:paraId="45FC7236">
      <w:pPr>
        <w:keepLines/>
        <w:ind w:firstLine="420"/>
      </w:pPr>
      <w:r>
        <w:t>补充的本人身份咨询材料：S01，合肥7天火车站地铁站店，2025年6月27日，吴凡工作表第175行；S34，成都尚客优悦石板滩东风街店，2025年6月19日，吴凡工作表第461行；S38，哈尔滨格林豪泰中央大街店，2025年6月25日，吴凡工作表第590行。正文采用对应转写稿的过程转述，不作为逐字引语。</w:t>
      </w:r>
    </w:p>
    <w:p w14:paraId="167F9F57">
      <w:pPr>
        <w:pStyle w:val="174"/>
      </w:pPr>
      <w:r>
        <w:t>法律条文与行业资料的引用版本应与正式发布文本一致。酒店使用操作工具时，应根据所在地规定和集团现行制度更新内容。</w:t>
      </w:r>
    </w:p>
    <w:sectPr>
      <w:headerReference r:id="rId7" w:type="default"/>
      <w:footerReference r:id="rId8" w:type="default"/>
      <w:pgSz w:w="11906" w:h="16838"/>
      <w:pgMar w:top="1361" w:right="1474" w:bottom="1361" w:left="1474" w:header="851" w:footer="992" w:gutter="0"/>
      <w:cols w:space="720" w:num="1"/>
      <w:docGrid w:linePitch="360"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pritiwi" w:date="2026-09-17T10:40:00Z" w:initials="">
    <w:p w14:paraId="27F16478">
      <w:pPr>
        <w:pStyle w:val="17"/>
        <w:rPr>
          <w:lang w:eastAsia="zh-CN"/>
        </w:rPr>
      </w:pPr>
      <w:r>
        <w:rPr>
          <w:rFonts w:hint="eastAsia"/>
          <w:lang w:eastAsia="zh-CN"/>
        </w:rPr>
        <w:t>五改成品牌样本表现，六改成品牌与城市差异。关于六品牌与城市，我建议想一下怎么表述更突出重点，比如我惊讶地发言，北京和上海居然排名这么靠后，这就是一个颠覆常识的点。类似这种，不是描述数据（因为阅读报告的人大多数对数据本身也不敏感），要总结出来数据的特殊表现。</w:t>
      </w:r>
    </w:p>
  </w:comment>
  <w:comment w:id="1" w:author="pritiwi" w:date="2026-09-17T10:59:00Z" w:initials="">
    <w:p w14:paraId="2E44BACD">
      <w:pPr>
        <w:pStyle w:val="17"/>
        <w:rPr>
          <w:lang w:eastAsia="zh-CN"/>
        </w:rPr>
      </w:pPr>
      <w:r>
        <w:rPr>
          <w:rFonts w:hint="eastAsia"/>
          <w:lang w:eastAsia="zh-CN"/>
        </w:rPr>
        <w:t>所有小标题都需要有序号</w:t>
      </w:r>
    </w:p>
  </w:comment>
  <w:comment w:id="2" w:author="pritiwi" w:date="2026-09-17T11:07:00Z" w:initials="">
    <w:p w14:paraId="2A99C3EF">
      <w:pPr>
        <w:jc w:val="left"/>
      </w:pPr>
      <w:r>
        <w:rPr>
          <w:rFonts w:hint="eastAsia"/>
          <w:lang w:eastAsia="zh-CN"/>
        </w:rPr>
        <w:t>附录调整顺序为：</w:t>
      </w:r>
      <w:r>
        <w:rPr>
          <w:rStyle w:val="138"/>
          <w:rFonts w:ascii="宋体" w:hAnsi="宋体" w:cs="宋体"/>
          <w:sz w:val="24"/>
          <w:szCs w:val="24"/>
          <w:lang w:eastAsia="zh-CN" w:bidi="ar"/>
        </w:rPr>
        <w:t>一 研究方法</w:t>
      </w:r>
      <w:r>
        <w:rPr>
          <w:rFonts w:ascii="宋体" w:hAnsi="宋体" w:cs="宋体"/>
          <w:sz w:val="24"/>
          <w:szCs w:val="24"/>
          <w:lang w:eastAsia="zh-CN" w:bidi="ar"/>
        </w:rPr>
        <w:br w:type="textWrapping"/>
      </w:r>
      <w:r>
        <w:rPr>
          <w:rStyle w:val="138"/>
          <w:rFonts w:ascii="宋体" w:hAnsi="宋体" w:cs="宋体"/>
          <w:sz w:val="24"/>
          <w:szCs w:val="24"/>
          <w:lang w:eastAsia="zh-CN" w:bidi="ar"/>
        </w:rPr>
        <w:t>二 测评指标与编码规则</w:t>
      </w:r>
      <w:r>
        <w:rPr>
          <w:rFonts w:ascii="宋体" w:hAnsi="宋体" w:cs="宋体"/>
          <w:sz w:val="24"/>
          <w:szCs w:val="24"/>
          <w:lang w:eastAsia="zh-CN" w:bidi="ar"/>
        </w:rPr>
        <w:br w:type="textWrapping"/>
      </w:r>
      <w:r>
        <w:rPr>
          <w:rStyle w:val="138"/>
          <w:rFonts w:ascii="宋体" w:hAnsi="宋体" w:cs="宋体"/>
          <w:sz w:val="24"/>
          <w:szCs w:val="24"/>
          <w:lang w:eastAsia="zh-CN" w:bidi="ar"/>
        </w:rPr>
        <w:t>三 数据来源与排名解释</w:t>
      </w:r>
      <w:r>
        <w:rPr>
          <w:rFonts w:ascii="宋体" w:hAnsi="宋体" w:cs="宋体"/>
          <w:sz w:val="24"/>
          <w:szCs w:val="24"/>
          <w:lang w:eastAsia="zh-CN" w:bidi="ar"/>
        </w:rPr>
        <w:br w:type="textWrapping"/>
      </w:r>
      <w:r>
        <w:rPr>
          <w:rStyle w:val="138"/>
          <w:rFonts w:ascii="宋体" w:hAnsi="宋体" w:cs="宋体"/>
          <w:sz w:val="24"/>
          <w:szCs w:val="24"/>
          <w:lang w:eastAsia="zh-CN" w:bidi="ar"/>
        </w:rPr>
        <w:t>四 城市样本明细</w:t>
      </w:r>
      <w:r>
        <w:rPr>
          <w:rFonts w:ascii="宋体" w:hAnsi="宋体" w:cs="宋体"/>
          <w:sz w:val="24"/>
          <w:szCs w:val="24"/>
          <w:lang w:eastAsia="zh-CN" w:bidi="ar"/>
        </w:rPr>
        <w:br w:type="textWrapping"/>
      </w:r>
      <w:r>
        <w:rPr>
          <w:rStyle w:val="138"/>
          <w:rFonts w:ascii="宋体" w:hAnsi="宋体" w:cs="宋体"/>
          <w:sz w:val="24"/>
          <w:szCs w:val="24"/>
          <w:lang w:eastAsia="zh-CN" w:bidi="ar"/>
        </w:rPr>
        <w:t>五 公众遇拒行动卡</w:t>
      </w:r>
      <w:r>
        <w:rPr>
          <w:rFonts w:ascii="宋体" w:hAnsi="宋体" w:cs="宋体"/>
          <w:sz w:val="24"/>
          <w:szCs w:val="24"/>
          <w:lang w:eastAsia="zh-CN" w:bidi="ar"/>
        </w:rPr>
        <w:br w:type="textWrapping"/>
      </w:r>
      <w:r>
        <w:rPr>
          <w:rStyle w:val="138"/>
          <w:rFonts w:ascii="宋体" w:hAnsi="宋体" w:cs="宋体"/>
          <w:sz w:val="24"/>
          <w:szCs w:val="24"/>
          <w:lang w:eastAsia="zh-CN" w:bidi="ar"/>
        </w:rPr>
        <w:t>六 酒店操作工具</w:t>
      </w:r>
      <w:r>
        <w:rPr>
          <w:rFonts w:ascii="宋体" w:hAnsi="宋体" w:cs="宋体"/>
          <w:sz w:val="24"/>
          <w:szCs w:val="24"/>
          <w:lang w:eastAsia="zh-CN" w:bidi="ar"/>
        </w:rPr>
        <w:br w:type="textWrapping"/>
      </w:r>
      <w:r>
        <w:rPr>
          <w:rStyle w:val="138"/>
          <w:rFonts w:ascii="宋体" w:hAnsi="宋体" w:cs="宋体"/>
          <w:sz w:val="24"/>
          <w:szCs w:val="24"/>
          <w:lang w:eastAsia="zh-CN" w:bidi="ar"/>
        </w:rPr>
        <w:t>七 后续研究方向</w:t>
      </w:r>
      <w:r>
        <w:rPr>
          <w:rFonts w:ascii="宋体" w:hAnsi="宋体" w:cs="宋体"/>
          <w:sz w:val="24"/>
          <w:szCs w:val="24"/>
          <w:lang w:eastAsia="zh-CN" w:bidi="ar"/>
        </w:rPr>
        <w:br w:type="textWrapping"/>
      </w:r>
      <w:r>
        <w:rPr>
          <w:rStyle w:val="138"/>
          <w:rFonts w:ascii="宋体" w:hAnsi="宋体" w:cs="宋体"/>
          <w:sz w:val="24"/>
          <w:szCs w:val="24"/>
          <w:lang w:eastAsia="zh-CN" w:bidi="ar"/>
        </w:rPr>
        <w:t>八 参考资料</w:t>
      </w:r>
    </w:p>
    <w:p w14:paraId="76EE92A9">
      <w:pPr>
        <w:pStyle w:val="17"/>
        <w:rPr>
          <w:lang w:eastAsia="zh-CN"/>
        </w:rPr>
      </w:pPr>
    </w:p>
  </w:comment>
  <w:comment w:id="3" w:author="待核实事项" w:date="2026-09-16T16:15:00Z" w:initials="">
    <w:p w14:paraId="7B6C01FE">
      <w:r>
        <w:t>待补出处：请核对作者或发布机构、发布日期及所引用页码。正文中的编写提示已移至本批注，未补入未经核实的书目信息。</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27F16478" w15:done="0"/>
  <w15:commentEx w15:paraId="2E44BACD" w15:done="0"/>
  <w15:commentEx w15:paraId="76EE92A9" w15:done="0"/>
  <w15:commentEx w15:paraId="7B6C01F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ptos">
    <w:altName w:val="Segoe UI"/>
    <w:panose1 w:val="00000000000000000000"/>
    <w:charset w:val="00"/>
    <w:family w:val="swiss"/>
    <w:pitch w:val="default"/>
    <w:sig w:usb0="00000000" w:usb1="00000000" w:usb2="00000000" w:usb3="00000000" w:csb0="0000019F" w:csb1="00000000"/>
  </w:font>
  <w:font w:name="Segoe UI">
    <w:panose1 w:val="020B0502040204020203"/>
    <w:charset w:val="00"/>
    <w:family w:val="auto"/>
    <w:pitch w:val="default"/>
    <w:sig w:usb0="E4002EFF" w:usb1="C000E47F"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ＭＳ 明朝">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Aptos Display">
    <w:altName w:val="Segoe UI Variable Display"/>
    <w:panose1 w:val="00000000000000000000"/>
    <w:charset w:val="00"/>
    <w:family w:val="swiss"/>
    <w:pitch w:val="default"/>
    <w:sig w:usb0="00000000" w:usb1="00000000" w:usb2="00000000" w:usb3="00000000" w:csb0="0000019F" w:csb1="00000000"/>
  </w:font>
  <w:font w:name="Segoe UI Variable Display">
    <w:panose1 w:val="00000000000000000000"/>
    <w:charset w:val="00"/>
    <w:family w:val="auto"/>
    <w:pitch w:val="default"/>
    <w:sig w:usb0="A00002FF" w:usb1="0000000B" w:usb2="00000000" w:usb3="00000000" w:csb0="2000019F"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45495">
    <w:pPr>
      <w:spacing w:before="0" w:after="0"/>
      <w:jc w:val="center"/>
    </w:pPr>
    <w:r>
      <w:rPr>
        <w:rFonts w:eastAsia="黑体"/>
        <w:color w:val="666666"/>
        <w:sz w:val="17"/>
      </w:rPr>
      <w:fldChar w:fldCharType="begin"/>
    </w:r>
    <w:r>
      <w:rPr>
        <w:rFonts w:eastAsia="黑体"/>
        <w:color w:val="666666"/>
        <w:sz w:val="17"/>
      </w:rPr>
      <w:instrText xml:space="preserve"> PAGE </w:instrText>
    </w:r>
    <w:r>
      <w:rPr>
        <w:rFonts w:eastAsia="黑体"/>
        <w:color w:val="666666"/>
        <w:sz w:val="17"/>
      </w:rPr>
      <w:fldChar w:fldCharType="separate"/>
    </w:r>
    <w:r>
      <w:rPr>
        <w:rFonts w:eastAsia="黑体"/>
        <w:color w:val="666666"/>
        <w:sz w:val="17"/>
      </w:rPr>
      <w:t>1</w:t>
    </w:r>
    <w:r>
      <w:rPr>
        <w:rFonts w:eastAsia="黑体"/>
        <w:color w:val="666666"/>
        <w:sz w:val="17"/>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60" w:lineRule="auto"/>
      </w:pPr>
      <w:r>
        <w:separator/>
      </w:r>
    </w:p>
  </w:footnote>
  <w:footnote w:type="continuationSeparator" w:id="1">
    <w:p>
      <w:pPr>
        <w:spacing w:before="0" w:after="0"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C6447">
    <w:pPr>
      <w:spacing w:before="0" w:after="0"/>
      <w:jc w:val="center"/>
    </w:pPr>
    <w:r>
      <w:drawing>
        <wp:inline distT="0" distB="0" distL="0" distR="0">
          <wp:extent cx="713105" cy="248285"/>
          <wp:effectExtent l="0" t="0" r="0" b="0"/>
          <wp:docPr id="1730449791" name="Picture 1" descr="Inclusion X 标识" title="Inclusion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449791" name="Picture 1" descr="Inclusion X 标识" title="Inclusion X"/>
                  <pic:cNvPicPr>
                    <a:picLocks noChangeAspect="1"/>
                  </pic:cNvPicPr>
                </pic:nvPicPr>
                <pic:blipFill>
                  <a:blip r:embed="rId1"/>
                  <a:stretch>
                    <a:fillRect/>
                  </a:stretch>
                </pic:blipFill>
                <pic:spPr>
                  <a:xfrm>
                    <a:off x="0" y="0"/>
                    <a:ext cx="713232" cy="248292"/>
                  </a:xfrm>
                  <a:prstGeom prst="rect">
                    <a:avLst/>
                  </a:prstGeom>
                </pic:spPr>
              </pic:pic>
            </a:graphicData>
          </a:graphic>
        </wp:inline>
      </w:drawing>
    </w:r>
    <w:r>
      <w:rPr>
        <w:rFonts w:eastAsia="黑体"/>
        <w:color w:val="666666"/>
        <w:sz w:val="16"/>
      </w:rPr>
      <w:t xml:space="preserve">    </w:t>
    </w:r>
    <w:r>
      <w:drawing>
        <wp:inline distT="0" distB="0" distL="0" distR="0">
          <wp:extent cx="530225" cy="252730"/>
          <wp:effectExtent l="0" t="0" r="0" b="0"/>
          <wp:docPr id="110545825" name="Picture 2" descr="酷残未来标识" title="酷残未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45825" name="Picture 2" descr="酷残未来标识" title="酷残未来"/>
                  <pic:cNvPicPr>
                    <a:picLocks noChangeAspect="1"/>
                  </pic:cNvPicPr>
                </pic:nvPicPr>
                <pic:blipFill>
                  <a:blip r:embed="rId2"/>
                  <a:stretch>
                    <a:fillRect/>
                  </a:stretch>
                </pic:blipFill>
                <pic:spPr>
                  <a:xfrm>
                    <a:off x="0" y="0"/>
                    <a:ext cx="530352" cy="25306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7583FA"/>
    <w:multiLevelType w:val="singleLevel"/>
    <w:tmpl w:val="FF7583FA"/>
    <w:lvl w:ilvl="0" w:tentative="0">
      <w:start w:val="1"/>
      <w:numFmt w:val="decimal"/>
      <w:lvlText w:val="%1."/>
      <w:lvlJc w:val="left"/>
      <w:pPr>
        <w:tabs>
          <w:tab w:val="left" w:pos="312"/>
        </w:tabs>
      </w:pPr>
    </w:lvl>
  </w:abstractNum>
  <w:abstractNum w:abstractNumId="1">
    <w:nsid w:val="7E084579"/>
    <w:multiLevelType w:val="multilevel"/>
    <w:tmpl w:val="7E084579"/>
    <w:lvl w:ilvl="0" w:tentative="0">
      <w:start w:val="1"/>
      <w:numFmt w:val="bullet"/>
      <w:pStyle w:val="16"/>
      <w:lvlText w:val="•"/>
      <w:lvlJc w:val="left"/>
      <w:pPr>
        <w:tabs>
          <w:tab w:val="left" w:pos="540"/>
        </w:tabs>
        <w:ind w:left="540" w:hanging="270"/>
      </w:pPr>
      <w:rPr>
        <w:rFonts w:ascii="Arial" w:hAnsi="Arial"/>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pritiwi">
    <w15:presenceInfo w15:providerId="None" w15:userId="pritiwi"/>
  </w15:person>
  <w15:person w15:author="待核实事项">
    <w15:presenceInfo w15:providerId="None" w15:userId="待核实事项"/>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720"/>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23391"/>
    <w:rsid w:val="00034616"/>
    <w:rsid w:val="00051313"/>
    <w:rsid w:val="0006063C"/>
    <w:rsid w:val="00081288"/>
    <w:rsid w:val="00090251"/>
    <w:rsid w:val="000905DC"/>
    <w:rsid w:val="000A528F"/>
    <w:rsid w:val="000D6F37"/>
    <w:rsid w:val="00105115"/>
    <w:rsid w:val="001058D5"/>
    <w:rsid w:val="0015074B"/>
    <w:rsid w:val="00164B07"/>
    <w:rsid w:val="001652FC"/>
    <w:rsid w:val="00165A38"/>
    <w:rsid w:val="001708BC"/>
    <w:rsid w:val="001739B1"/>
    <w:rsid w:val="00174B6A"/>
    <w:rsid w:val="001806C0"/>
    <w:rsid w:val="00183A02"/>
    <w:rsid w:val="001D562C"/>
    <w:rsid w:val="002037EF"/>
    <w:rsid w:val="00210BCE"/>
    <w:rsid w:val="00244BC1"/>
    <w:rsid w:val="00285DA7"/>
    <w:rsid w:val="0029639D"/>
    <w:rsid w:val="002B4D1E"/>
    <w:rsid w:val="002C09DB"/>
    <w:rsid w:val="00326F90"/>
    <w:rsid w:val="003364BE"/>
    <w:rsid w:val="00352D5F"/>
    <w:rsid w:val="00363180"/>
    <w:rsid w:val="00382CAC"/>
    <w:rsid w:val="00396658"/>
    <w:rsid w:val="00462B72"/>
    <w:rsid w:val="004660F0"/>
    <w:rsid w:val="004723BE"/>
    <w:rsid w:val="00476203"/>
    <w:rsid w:val="0048176C"/>
    <w:rsid w:val="00485A21"/>
    <w:rsid w:val="004C106D"/>
    <w:rsid w:val="004C7E0F"/>
    <w:rsid w:val="005466D1"/>
    <w:rsid w:val="00560034"/>
    <w:rsid w:val="00595051"/>
    <w:rsid w:val="00625693"/>
    <w:rsid w:val="00636AE3"/>
    <w:rsid w:val="0066040D"/>
    <w:rsid w:val="0066196C"/>
    <w:rsid w:val="00685A90"/>
    <w:rsid w:val="006A3593"/>
    <w:rsid w:val="006D4D40"/>
    <w:rsid w:val="006E6558"/>
    <w:rsid w:val="006F6818"/>
    <w:rsid w:val="00780FFD"/>
    <w:rsid w:val="00797AAD"/>
    <w:rsid w:val="007B4466"/>
    <w:rsid w:val="007D1BBD"/>
    <w:rsid w:val="008047D7"/>
    <w:rsid w:val="0086785D"/>
    <w:rsid w:val="00874486"/>
    <w:rsid w:val="008807E0"/>
    <w:rsid w:val="008A133D"/>
    <w:rsid w:val="0090793D"/>
    <w:rsid w:val="0096246B"/>
    <w:rsid w:val="00971A1F"/>
    <w:rsid w:val="00973481"/>
    <w:rsid w:val="009A3D68"/>
    <w:rsid w:val="009A596E"/>
    <w:rsid w:val="009C6311"/>
    <w:rsid w:val="009F7587"/>
    <w:rsid w:val="00A239A1"/>
    <w:rsid w:val="00A23AB0"/>
    <w:rsid w:val="00A354DD"/>
    <w:rsid w:val="00A879ED"/>
    <w:rsid w:val="00AA1D8D"/>
    <w:rsid w:val="00AE0CE5"/>
    <w:rsid w:val="00AF60AD"/>
    <w:rsid w:val="00B0114D"/>
    <w:rsid w:val="00B11953"/>
    <w:rsid w:val="00B44F40"/>
    <w:rsid w:val="00B47730"/>
    <w:rsid w:val="00B50DC0"/>
    <w:rsid w:val="00B872A1"/>
    <w:rsid w:val="00B9496A"/>
    <w:rsid w:val="00BA02C4"/>
    <w:rsid w:val="00BB5502"/>
    <w:rsid w:val="00BC4E1B"/>
    <w:rsid w:val="00BD676D"/>
    <w:rsid w:val="00BF7F67"/>
    <w:rsid w:val="00C1603B"/>
    <w:rsid w:val="00C248CF"/>
    <w:rsid w:val="00C45323"/>
    <w:rsid w:val="00CA4776"/>
    <w:rsid w:val="00CB0664"/>
    <w:rsid w:val="00CF2710"/>
    <w:rsid w:val="00D277F3"/>
    <w:rsid w:val="00D325C9"/>
    <w:rsid w:val="00D337D9"/>
    <w:rsid w:val="00DA7BD3"/>
    <w:rsid w:val="00E424B7"/>
    <w:rsid w:val="00E61372"/>
    <w:rsid w:val="00EC4625"/>
    <w:rsid w:val="00EE3035"/>
    <w:rsid w:val="00F040BE"/>
    <w:rsid w:val="00F06B69"/>
    <w:rsid w:val="00F17FCC"/>
    <w:rsid w:val="00F41DF6"/>
    <w:rsid w:val="00F64C4F"/>
    <w:rsid w:val="00F710D1"/>
    <w:rsid w:val="00F81392"/>
    <w:rsid w:val="00F836E9"/>
    <w:rsid w:val="00FC693F"/>
    <w:rsid w:val="00FE5ECF"/>
    <w:rsid w:val="05324605"/>
    <w:rsid w:val="05434BD6"/>
    <w:rsid w:val="0B9C51B8"/>
    <w:rsid w:val="0BA97883"/>
    <w:rsid w:val="0DAD0977"/>
    <w:rsid w:val="11E8614A"/>
    <w:rsid w:val="11EB1122"/>
    <w:rsid w:val="1579084D"/>
    <w:rsid w:val="17606327"/>
    <w:rsid w:val="1D4C2FB9"/>
    <w:rsid w:val="1F244811"/>
    <w:rsid w:val="204F049E"/>
    <w:rsid w:val="28F8575C"/>
    <w:rsid w:val="2BE24CBA"/>
    <w:rsid w:val="2CA20E44"/>
    <w:rsid w:val="34CC5028"/>
    <w:rsid w:val="352038C6"/>
    <w:rsid w:val="38806F31"/>
    <w:rsid w:val="3A32781E"/>
    <w:rsid w:val="3B784691"/>
    <w:rsid w:val="3B80392B"/>
    <w:rsid w:val="436A3C36"/>
    <w:rsid w:val="442C6752"/>
    <w:rsid w:val="453A344A"/>
    <w:rsid w:val="45D258DF"/>
    <w:rsid w:val="46043565"/>
    <w:rsid w:val="4A0B79FF"/>
    <w:rsid w:val="51A35711"/>
    <w:rsid w:val="5DE636BB"/>
    <w:rsid w:val="5EC7770D"/>
    <w:rsid w:val="5F237087"/>
    <w:rsid w:val="612501F8"/>
    <w:rsid w:val="61B2405A"/>
    <w:rsid w:val="664D3043"/>
    <w:rsid w:val="666C58B0"/>
    <w:rsid w:val="6E6F1231"/>
    <w:rsid w:val="710423E6"/>
    <w:rsid w:val="71293277"/>
    <w:rsid w:val="730B012E"/>
    <w:rsid w:val="734170A4"/>
    <w:rsid w:val="797509D0"/>
    <w:rsid w:val="7AA54F6C"/>
    <w:rsid w:val="7B19503E"/>
    <w:rsid w:val="7D952D62"/>
    <w:rsid w:val="7DFDD2D2"/>
    <w:rsid w:val="F53B1D5F"/>
    <w:rsid w:val="FDC61807"/>
    <w:rsid w:val="FF7E446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before="78" w:after="78" w:line="360" w:lineRule="auto"/>
      <w:ind w:firstLine="480"/>
      <w:jc w:val="both"/>
    </w:pPr>
    <w:rPr>
      <w:rFonts w:ascii="Aptos" w:hAnsi="Aptos" w:eastAsia="宋体" w:cstheme="minorBidi"/>
      <w:color w:val="1B1C1D"/>
      <w:sz w:val="21"/>
      <w:szCs w:val="22"/>
      <w:lang w:val="en-US" w:eastAsia="en-US" w:bidi="ar-SA"/>
    </w:rPr>
  </w:style>
  <w:style w:type="paragraph" w:styleId="3">
    <w:name w:val="heading 1"/>
    <w:basedOn w:val="1"/>
    <w:next w:val="1"/>
    <w:link w:val="145"/>
    <w:qFormat/>
    <w:uiPriority w:val="9"/>
    <w:pPr>
      <w:keepNext/>
      <w:keepLines/>
      <w:spacing w:before="360" w:after="200" w:line="288" w:lineRule="auto"/>
      <w:ind w:firstLine="0"/>
      <w:outlineLvl w:val="0"/>
    </w:pPr>
    <w:rPr>
      <w:rFonts w:asciiTheme="majorHAnsi" w:hAnsiTheme="majorHAnsi" w:eastAsiaTheme="majorEastAsia" w:cstheme="majorBidi"/>
      <w:b/>
      <w:bCs/>
      <w:color w:val="000000"/>
      <w:sz w:val="36"/>
      <w:szCs w:val="28"/>
    </w:rPr>
  </w:style>
  <w:style w:type="paragraph" w:styleId="4">
    <w:name w:val="heading 2"/>
    <w:basedOn w:val="1"/>
    <w:next w:val="1"/>
    <w:link w:val="146"/>
    <w:unhideWhenUsed/>
    <w:qFormat/>
    <w:uiPriority w:val="9"/>
    <w:pPr>
      <w:keepNext/>
      <w:keepLines/>
      <w:spacing w:before="280" w:after="140" w:line="300" w:lineRule="auto"/>
      <w:ind w:firstLine="0"/>
      <w:outlineLvl w:val="1"/>
    </w:pPr>
    <w:rPr>
      <w:rFonts w:asciiTheme="majorHAnsi" w:hAnsiTheme="majorHAnsi" w:eastAsiaTheme="majorEastAsia" w:cstheme="majorBidi"/>
      <w:b/>
      <w:bCs/>
      <w:color w:val="000000"/>
      <w:sz w:val="28"/>
      <w:szCs w:val="26"/>
    </w:rPr>
  </w:style>
  <w:style w:type="paragraph" w:styleId="5">
    <w:name w:val="heading 3"/>
    <w:basedOn w:val="1"/>
    <w:next w:val="1"/>
    <w:link w:val="147"/>
    <w:unhideWhenUsed/>
    <w:qFormat/>
    <w:uiPriority w:val="9"/>
    <w:pPr>
      <w:keepNext/>
      <w:keepLines/>
      <w:spacing w:before="200" w:after="100" w:line="300" w:lineRule="auto"/>
      <w:ind w:firstLine="0"/>
      <w:outlineLvl w:val="2"/>
    </w:pPr>
    <w:rPr>
      <w:rFonts w:asciiTheme="majorHAnsi" w:hAnsiTheme="majorHAnsi" w:eastAsiaTheme="majorEastAsia" w:cstheme="majorBidi"/>
      <w:b/>
      <w:bCs/>
      <w:color w:val="000000"/>
      <w:sz w:val="23"/>
    </w:rPr>
  </w:style>
  <w:style w:type="paragraph" w:styleId="6">
    <w:name w:val="heading 4"/>
    <w:basedOn w:val="1"/>
    <w:next w:val="1"/>
    <w:link w:val="157"/>
    <w:semiHidden/>
    <w:unhideWhenUsed/>
    <w:qFormat/>
    <w:uiPriority w:val="9"/>
    <w:pPr>
      <w:keepNext/>
      <w:keepLines/>
      <w:spacing w:before="160" w:after="80" w:line="288" w:lineRule="auto"/>
      <w:outlineLvl w:val="3"/>
    </w:pPr>
    <w:rPr>
      <w:rFonts w:asciiTheme="majorHAnsi" w:hAnsiTheme="majorHAnsi" w:eastAsiaTheme="majorEastAsia" w:cstheme="majorBidi"/>
      <w:b/>
      <w:bCs/>
      <w:i/>
      <w:iCs/>
      <w:color w:val="000000"/>
    </w:rPr>
  </w:style>
  <w:style w:type="paragraph" w:styleId="7">
    <w:name w:val="heading 5"/>
    <w:basedOn w:val="1"/>
    <w:next w:val="1"/>
    <w:link w:val="158"/>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9"/>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60"/>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1"/>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2"/>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7">
    <w:name w:val="Default Paragraph Font"/>
    <w:semiHidden/>
    <w:unhideWhenUsed/>
    <w:qFormat/>
    <w:uiPriority w:val="1"/>
  </w:style>
  <w:style w:type="table" w:default="1" w:styleId="37">
    <w:name w:val="Normal Table"/>
    <w:semiHidden/>
    <w:unhideWhenUsed/>
    <w:uiPriority w:val="99"/>
    <w:tblPr>
      <w:tblCellMar>
        <w:top w:w="0" w:type="dxa"/>
        <w:left w:w="108" w:type="dxa"/>
        <w:bottom w:w="0" w:type="dxa"/>
        <w:right w:w="108" w:type="dxa"/>
      </w:tblCellMar>
    </w:tblPr>
  </w:style>
  <w:style w:type="paragraph" w:styleId="2">
    <w:name w:val="macro"/>
    <w:link w:val="154"/>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tabs>
        <w:tab w:val="left" w:pos="360"/>
      </w:tabs>
      <w:contextualSpacing/>
    </w:pPr>
  </w:style>
  <w:style w:type="paragraph" w:styleId="14">
    <w:name w:val="List Number"/>
    <w:basedOn w:val="1"/>
    <w:unhideWhenUsed/>
    <w:qFormat/>
    <w:uiPriority w:val="99"/>
    <w:pPr>
      <w:tabs>
        <w:tab w:val="left" w:pos="360"/>
      </w:tabs>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1"/>
      </w:numPr>
      <w:contextualSpacing/>
    </w:pPr>
  </w:style>
  <w:style w:type="paragraph" w:styleId="17">
    <w:name w:val="annotation text"/>
    <w:basedOn w:val="1"/>
    <w:link w:val="186"/>
    <w:semiHidden/>
    <w:unhideWhenUsed/>
    <w:qFormat/>
    <w:uiPriority w:val="99"/>
    <w:pPr>
      <w:jc w:val="left"/>
    </w:pPr>
  </w:style>
  <w:style w:type="paragraph" w:styleId="18">
    <w:name w:val="Body Text 3"/>
    <w:basedOn w:val="1"/>
    <w:link w:val="153"/>
    <w:unhideWhenUsed/>
    <w:qFormat/>
    <w:uiPriority w:val="99"/>
    <w:pPr>
      <w:spacing w:after="120"/>
    </w:pPr>
    <w:rPr>
      <w:sz w:val="16"/>
      <w:szCs w:val="16"/>
    </w:rPr>
  </w:style>
  <w:style w:type="paragraph" w:styleId="19">
    <w:name w:val="List Bullet 3"/>
    <w:basedOn w:val="1"/>
    <w:unhideWhenUsed/>
    <w:qFormat/>
    <w:uiPriority w:val="99"/>
    <w:pPr>
      <w:tabs>
        <w:tab w:val="left" w:pos="360"/>
      </w:tabs>
      <w:contextualSpacing/>
    </w:pPr>
  </w:style>
  <w:style w:type="paragraph" w:styleId="20">
    <w:name w:val="Body Text"/>
    <w:basedOn w:val="1"/>
    <w:link w:val="151"/>
    <w:unhideWhenUsed/>
    <w:qFormat/>
    <w:uiPriority w:val="99"/>
    <w:pPr>
      <w:spacing w:after="120"/>
    </w:pPr>
  </w:style>
  <w:style w:type="paragraph" w:styleId="21">
    <w:name w:val="List Number 3"/>
    <w:basedOn w:val="1"/>
    <w:unhideWhenUsed/>
    <w:qFormat/>
    <w:uiPriority w:val="99"/>
    <w:pPr>
      <w:tabs>
        <w:tab w:val="left" w:pos="360"/>
      </w:tabs>
      <w:contextualSpacing/>
    </w:pPr>
  </w:style>
  <w:style w:type="paragraph" w:styleId="22">
    <w:name w:val="List 2"/>
    <w:basedOn w:val="1"/>
    <w:unhideWhenUsed/>
    <w:qFormat/>
    <w:uiPriority w:val="99"/>
    <w:pPr>
      <w:ind w:left="720" w:hanging="360"/>
      <w:contextualSpacing/>
    </w:pPr>
  </w:style>
  <w:style w:type="paragraph" w:styleId="23">
    <w:name w:val="List Continue"/>
    <w:basedOn w:val="1"/>
    <w:unhideWhenUsed/>
    <w:qFormat/>
    <w:uiPriority w:val="99"/>
    <w:pPr>
      <w:spacing w:after="120"/>
      <w:ind w:left="360"/>
      <w:contextualSpacing/>
    </w:pPr>
  </w:style>
  <w:style w:type="paragraph" w:styleId="24">
    <w:name w:val="List Bullet 2"/>
    <w:basedOn w:val="1"/>
    <w:unhideWhenUsed/>
    <w:qFormat/>
    <w:uiPriority w:val="99"/>
    <w:pPr>
      <w:tabs>
        <w:tab w:val="left" w:pos="360"/>
      </w:tabs>
      <w:contextualSpacing/>
    </w:pPr>
  </w:style>
  <w:style w:type="paragraph" w:styleId="25">
    <w:name w:val="toc 3"/>
    <w:basedOn w:val="1"/>
    <w:next w:val="1"/>
    <w:autoRedefine/>
    <w:unhideWhenUsed/>
    <w:qFormat/>
    <w:uiPriority w:val="39"/>
    <w:pPr>
      <w:spacing w:before="30" w:after="30" w:line="264" w:lineRule="auto"/>
      <w:ind w:left="840" w:leftChars="400"/>
    </w:pPr>
    <w:rPr>
      <w:sz w:val="18"/>
    </w:rPr>
  </w:style>
  <w:style w:type="paragraph" w:styleId="26">
    <w:name w:val="footer"/>
    <w:basedOn w:val="1"/>
    <w:link w:val="143"/>
    <w:unhideWhenUsed/>
    <w:qFormat/>
    <w:uiPriority w:val="99"/>
    <w:pPr>
      <w:tabs>
        <w:tab w:val="center" w:pos="4680"/>
        <w:tab w:val="right" w:pos="9360"/>
      </w:tabs>
      <w:spacing w:after="0" w:line="240" w:lineRule="auto"/>
    </w:pPr>
  </w:style>
  <w:style w:type="paragraph" w:styleId="27">
    <w:name w:val="header"/>
    <w:basedOn w:val="1"/>
    <w:link w:val="142"/>
    <w:unhideWhenUsed/>
    <w:qFormat/>
    <w:uiPriority w:val="99"/>
    <w:pPr>
      <w:tabs>
        <w:tab w:val="center" w:pos="4680"/>
        <w:tab w:val="right" w:pos="9360"/>
      </w:tabs>
      <w:spacing w:after="0" w:line="240" w:lineRule="auto"/>
    </w:pPr>
  </w:style>
  <w:style w:type="paragraph" w:styleId="28">
    <w:name w:val="toc 1"/>
    <w:basedOn w:val="1"/>
    <w:next w:val="1"/>
    <w:autoRedefine/>
    <w:unhideWhenUsed/>
    <w:qFormat/>
    <w:uiPriority w:val="39"/>
    <w:pPr>
      <w:spacing w:before="0" w:after="0" w:line="240" w:lineRule="auto"/>
    </w:pPr>
    <w:rPr>
      <w:rFonts w:eastAsia="等线"/>
      <w:sz w:val="18"/>
    </w:rPr>
  </w:style>
  <w:style w:type="paragraph" w:styleId="29">
    <w:name w:val="Subtitle"/>
    <w:basedOn w:val="1"/>
    <w:next w:val="1"/>
    <w:link w:val="149"/>
    <w:qFormat/>
    <w:uiPriority w:val="11"/>
    <w:pPr>
      <w:spacing w:before="0" w:after="320"/>
      <w:jc w:val="center"/>
    </w:pPr>
    <w:rPr>
      <w:rFonts w:asciiTheme="majorHAnsi" w:hAnsiTheme="majorHAnsi" w:eastAsiaTheme="majorEastAsia" w:cstheme="majorBidi"/>
      <w:i/>
      <w:iCs/>
      <w:color w:val="000000"/>
      <w:spacing w:val="15"/>
      <w:sz w:val="24"/>
      <w:szCs w:val="24"/>
    </w:rPr>
  </w:style>
  <w:style w:type="paragraph" w:styleId="30">
    <w:name w:val="List"/>
    <w:basedOn w:val="1"/>
    <w:unhideWhenUsed/>
    <w:qFormat/>
    <w:uiPriority w:val="99"/>
    <w:pPr>
      <w:ind w:left="360" w:hanging="360"/>
      <w:contextualSpacing/>
    </w:pPr>
  </w:style>
  <w:style w:type="paragraph" w:styleId="31">
    <w:name w:val="toc 2"/>
    <w:basedOn w:val="1"/>
    <w:next w:val="1"/>
    <w:autoRedefine/>
    <w:unhideWhenUsed/>
    <w:qFormat/>
    <w:uiPriority w:val="39"/>
    <w:pPr>
      <w:spacing w:before="0" w:after="0" w:line="240" w:lineRule="auto"/>
      <w:ind w:left="317" w:leftChars="200"/>
    </w:pPr>
    <w:rPr>
      <w:sz w:val="17"/>
    </w:rPr>
  </w:style>
  <w:style w:type="paragraph" w:styleId="32">
    <w:name w:val="Body Text 2"/>
    <w:basedOn w:val="1"/>
    <w:link w:val="152"/>
    <w:unhideWhenUsed/>
    <w:qFormat/>
    <w:uiPriority w:val="99"/>
    <w:pPr>
      <w:spacing w:after="120" w:line="480" w:lineRule="auto"/>
    </w:pPr>
  </w:style>
  <w:style w:type="paragraph" w:styleId="33">
    <w:name w:val="List Continue 2"/>
    <w:basedOn w:val="1"/>
    <w:unhideWhenUsed/>
    <w:qFormat/>
    <w:uiPriority w:val="99"/>
    <w:pPr>
      <w:spacing w:after="120"/>
      <w:ind w:left="720"/>
      <w:contextualSpacing/>
    </w:pPr>
  </w:style>
  <w:style w:type="paragraph" w:styleId="34">
    <w:name w:val="Normal (Web)"/>
    <w:basedOn w:val="1"/>
    <w:semiHidden/>
    <w:unhideWhenUsed/>
    <w:qFormat/>
    <w:uiPriority w:val="99"/>
    <w:pPr>
      <w:spacing w:before="0" w:beforeAutospacing="1" w:after="0" w:afterAutospacing="1"/>
      <w:jc w:val="left"/>
    </w:pPr>
    <w:rPr>
      <w:rFonts w:cs="Times New Roman"/>
      <w:sz w:val="24"/>
      <w:lang w:eastAsia="zh-CN"/>
    </w:rPr>
  </w:style>
  <w:style w:type="paragraph" w:styleId="35">
    <w:name w:val="List Continue 3"/>
    <w:basedOn w:val="1"/>
    <w:unhideWhenUsed/>
    <w:qFormat/>
    <w:uiPriority w:val="99"/>
    <w:pPr>
      <w:spacing w:after="120"/>
      <w:ind w:left="1080"/>
      <w:contextualSpacing/>
    </w:pPr>
  </w:style>
  <w:style w:type="paragraph" w:styleId="36">
    <w:name w:val="Title"/>
    <w:basedOn w:val="1"/>
    <w:next w:val="1"/>
    <w:link w:val="148"/>
    <w:qFormat/>
    <w:uiPriority w:val="10"/>
    <w:pPr>
      <w:spacing w:before="80" w:after="200"/>
      <w:contextualSpacing/>
      <w:jc w:val="center"/>
    </w:pPr>
    <w:rPr>
      <w:rFonts w:asciiTheme="majorHAnsi" w:hAnsiTheme="majorHAnsi" w:eastAsiaTheme="majorEastAsia" w:cstheme="majorBidi"/>
      <w:b/>
      <w:color w:val="000000"/>
      <w:spacing w:val="5"/>
      <w:kern w:val="28"/>
      <w:sz w:val="40"/>
      <w:szCs w:val="52"/>
    </w:rPr>
  </w:style>
  <w:style w:type="table" w:styleId="38">
    <w:name w:val="Table Grid"/>
    <w:basedOn w:val="37"/>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9">
    <w:name w:val="Light Shading"/>
    <w:basedOn w:val="37"/>
    <w:qFormat/>
    <w:uiPriority w:val="60"/>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37"/>
    <w:qFormat/>
    <w:uiPriority w:val="60"/>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37"/>
    <w:qFormat/>
    <w:uiPriority w:val="60"/>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37"/>
    <w:qFormat/>
    <w:uiPriority w:val="60"/>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37"/>
    <w:qFormat/>
    <w:uiPriority w:val="60"/>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37"/>
    <w:qFormat/>
    <w:uiPriority w:val="60"/>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37"/>
    <w:qFormat/>
    <w:uiPriority w:val="60"/>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37"/>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37"/>
    <w:qFormat/>
    <w:uiPriority w:val="61"/>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37"/>
    <w:qFormat/>
    <w:uiPriority w:val="61"/>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37"/>
    <w:qFormat/>
    <w:uiPriority w:val="61"/>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37"/>
    <w:qFormat/>
    <w:uiPriority w:val="61"/>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37"/>
    <w:qFormat/>
    <w:uiPriority w:val="61"/>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37"/>
    <w:qFormat/>
    <w:uiPriority w:val="61"/>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37"/>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37"/>
    <w:qFormat/>
    <w:uiPriority w:val="62"/>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37"/>
    <w:qFormat/>
    <w:uiPriority w:val="62"/>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37"/>
    <w:qFormat/>
    <w:uiPriority w:val="62"/>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37"/>
    <w:qFormat/>
    <w:uiPriority w:val="62"/>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37"/>
    <w:qFormat/>
    <w:uiPriority w:val="62"/>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37"/>
    <w:qFormat/>
    <w:uiPriority w:val="62"/>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37"/>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37"/>
    <w:qFormat/>
    <w:uiPriority w:val="63"/>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37"/>
    <w:qFormat/>
    <w:uiPriority w:val="63"/>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37"/>
    <w:qFormat/>
    <w:uiPriority w:val="63"/>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37"/>
    <w:qFormat/>
    <w:uiPriority w:val="63"/>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37"/>
    <w:qFormat/>
    <w:uiPriority w:val="63"/>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37"/>
    <w:qFormat/>
    <w:uiPriority w:val="63"/>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37"/>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37"/>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37"/>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37"/>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37"/>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37"/>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37"/>
    <w:qFormat/>
    <w:uiPriority w:val="64"/>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37"/>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37"/>
    <w:qFormat/>
    <w:uiPriority w:val="65"/>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37"/>
    <w:qFormat/>
    <w:uiPriority w:val="65"/>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37"/>
    <w:qFormat/>
    <w:uiPriority w:val="65"/>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37"/>
    <w:qFormat/>
    <w:uiPriority w:val="65"/>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37"/>
    <w:qFormat/>
    <w:uiPriority w:val="65"/>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37"/>
    <w:qFormat/>
    <w:uiPriority w:val="65"/>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37"/>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37"/>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37"/>
    <w:qFormat/>
    <w:uiPriority w:val="67"/>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37"/>
    <w:qFormat/>
    <w:uiPriority w:val="67"/>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37"/>
    <w:qFormat/>
    <w:uiPriority w:val="67"/>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37"/>
    <w:qFormat/>
    <w:uiPriority w:val="67"/>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37"/>
    <w:qFormat/>
    <w:uiPriority w:val="67"/>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37"/>
    <w:qFormat/>
    <w:uiPriority w:val="67"/>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37"/>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37"/>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37"/>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37"/>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37"/>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37"/>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37"/>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37"/>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37"/>
    <w:qFormat/>
    <w:uiPriority w:val="70"/>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37"/>
    <w:qFormat/>
    <w:uiPriority w:val="70"/>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37"/>
    <w:qFormat/>
    <w:uiPriority w:val="70"/>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37"/>
    <w:qFormat/>
    <w:uiPriority w:val="70"/>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37"/>
    <w:qFormat/>
    <w:uiPriority w:val="70"/>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37"/>
    <w:qFormat/>
    <w:uiPriority w:val="70"/>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37"/>
    <w:qFormat/>
    <w:uiPriority w:val="70"/>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37"/>
    <w:qFormat/>
    <w:uiPriority w:val="71"/>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37"/>
    <w:qFormat/>
    <w:uiPriority w:val="71"/>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37"/>
    <w:qFormat/>
    <w:uiPriority w:val="71"/>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37"/>
    <w:qFormat/>
    <w:uiPriority w:val="71"/>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37"/>
    <w:qFormat/>
    <w:uiPriority w:val="71"/>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37"/>
    <w:qFormat/>
    <w:uiPriority w:val="71"/>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37"/>
    <w:qFormat/>
    <w:uiPriority w:val="71"/>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37"/>
    <w:qFormat/>
    <w:uiPriority w:val="72"/>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37"/>
    <w:qFormat/>
    <w:uiPriority w:val="72"/>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37"/>
    <w:qFormat/>
    <w:uiPriority w:val="72"/>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37"/>
    <w:qFormat/>
    <w:uiPriority w:val="72"/>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37"/>
    <w:qFormat/>
    <w:uiPriority w:val="72"/>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37"/>
    <w:qFormat/>
    <w:uiPriority w:val="72"/>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37"/>
    <w:qFormat/>
    <w:uiPriority w:val="72"/>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37"/>
    <w:qFormat/>
    <w:uiPriority w:val="73"/>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8">
    <w:name w:val="Strong"/>
    <w:basedOn w:val="137"/>
    <w:qFormat/>
    <w:uiPriority w:val="22"/>
    <w:rPr>
      <w:b/>
      <w:bCs/>
    </w:rPr>
  </w:style>
  <w:style w:type="character" w:styleId="139">
    <w:name w:val="Emphasis"/>
    <w:basedOn w:val="137"/>
    <w:qFormat/>
    <w:uiPriority w:val="20"/>
    <w:rPr>
      <w:i/>
      <w:iCs/>
    </w:rPr>
  </w:style>
  <w:style w:type="character" w:styleId="140">
    <w:name w:val="Hyperlink"/>
    <w:basedOn w:val="137"/>
    <w:unhideWhenUsed/>
    <w:qFormat/>
    <w:uiPriority w:val="99"/>
    <w:rPr>
      <w:color w:val="0000FF" w:themeColor="hyperlink"/>
      <w:u w:val="single"/>
      <w14:textFill>
        <w14:solidFill>
          <w14:schemeClr w14:val="hlink"/>
        </w14:solidFill>
      </w14:textFill>
    </w:rPr>
  </w:style>
  <w:style w:type="character" w:styleId="141">
    <w:name w:val="annotation reference"/>
    <w:basedOn w:val="137"/>
    <w:semiHidden/>
    <w:unhideWhenUsed/>
    <w:qFormat/>
    <w:uiPriority w:val="99"/>
    <w:rPr>
      <w:sz w:val="21"/>
      <w:szCs w:val="21"/>
    </w:rPr>
  </w:style>
  <w:style w:type="character" w:customStyle="1" w:styleId="142">
    <w:name w:val="页眉 字符"/>
    <w:basedOn w:val="137"/>
    <w:link w:val="27"/>
    <w:qFormat/>
    <w:uiPriority w:val="99"/>
  </w:style>
  <w:style w:type="character" w:customStyle="1" w:styleId="143">
    <w:name w:val="页脚 字符"/>
    <w:basedOn w:val="137"/>
    <w:link w:val="26"/>
    <w:qFormat/>
    <w:uiPriority w:val="99"/>
  </w:style>
  <w:style w:type="paragraph" w:styleId="144">
    <w:name w:val="No Spacing"/>
    <w:qFormat/>
    <w:uiPriority w:val="1"/>
    <w:rPr>
      <w:rFonts w:asciiTheme="minorHAnsi" w:hAnsiTheme="minorHAnsi" w:eastAsiaTheme="minorEastAsia" w:cstheme="minorBidi"/>
      <w:sz w:val="22"/>
      <w:szCs w:val="22"/>
      <w:lang w:val="en-US" w:eastAsia="en-US" w:bidi="ar-SA"/>
    </w:rPr>
  </w:style>
  <w:style w:type="character" w:customStyle="1" w:styleId="145">
    <w:name w:val="标题 1 字符"/>
    <w:basedOn w:val="137"/>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6">
    <w:name w:val="标题 2 字符"/>
    <w:basedOn w:val="137"/>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7">
    <w:name w:val="标题 3 字符"/>
    <w:basedOn w:val="137"/>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8">
    <w:name w:val="标题 字符"/>
    <w:basedOn w:val="137"/>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9">
    <w:name w:val="副标题 字符"/>
    <w:basedOn w:val="137"/>
    <w:link w:val="29"/>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50">
    <w:name w:val="List Paragraph"/>
    <w:basedOn w:val="1"/>
    <w:qFormat/>
    <w:uiPriority w:val="34"/>
    <w:pPr>
      <w:ind w:left="720"/>
      <w:contextualSpacing/>
    </w:pPr>
  </w:style>
  <w:style w:type="character" w:customStyle="1" w:styleId="151">
    <w:name w:val="正文文本 字符"/>
    <w:basedOn w:val="137"/>
    <w:link w:val="20"/>
    <w:qFormat/>
    <w:uiPriority w:val="99"/>
  </w:style>
  <w:style w:type="character" w:customStyle="1" w:styleId="152">
    <w:name w:val="正文文本 2 字符"/>
    <w:basedOn w:val="137"/>
    <w:link w:val="32"/>
    <w:qFormat/>
    <w:uiPriority w:val="99"/>
  </w:style>
  <w:style w:type="character" w:customStyle="1" w:styleId="153">
    <w:name w:val="正文文本 3 字符"/>
    <w:basedOn w:val="137"/>
    <w:link w:val="18"/>
    <w:qFormat/>
    <w:uiPriority w:val="99"/>
    <w:rPr>
      <w:sz w:val="16"/>
      <w:szCs w:val="16"/>
    </w:rPr>
  </w:style>
  <w:style w:type="character" w:customStyle="1" w:styleId="154">
    <w:name w:val="宏文本 字符"/>
    <w:basedOn w:val="137"/>
    <w:link w:val="2"/>
    <w:qFormat/>
    <w:uiPriority w:val="99"/>
    <w:rPr>
      <w:rFonts w:ascii="Courier" w:hAnsi="Courier"/>
      <w:sz w:val="20"/>
      <w:szCs w:val="20"/>
    </w:rPr>
  </w:style>
  <w:style w:type="paragraph" w:styleId="155">
    <w:name w:val="Quote"/>
    <w:basedOn w:val="1"/>
    <w:next w:val="1"/>
    <w:link w:val="156"/>
    <w:qFormat/>
    <w:uiPriority w:val="29"/>
    <w:rPr>
      <w:i/>
      <w:iCs/>
      <w:color w:val="000000" w:themeColor="text1"/>
      <w14:textFill>
        <w14:solidFill>
          <w14:schemeClr w14:val="tx1"/>
        </w14:solidFill>
      </w14:textFill>
    </w:rPr>
  </w:style>
  <w:style w:type="character" w:customStyle="1" w:styleId="156">
    <w:name w:val="引用 字符"/>
    <w:basedOn w:val="137"/>
    <w:link w:val="155"/>
    <w:qFormat/>
    <w:uiPriority w:val="29"/>
    <w:rPr>
      <w:i/>
      <w:iCs/>
      <w:color w:val="000000" w:themeColor="text1"/>
      <w14:textFill>
        <w14:solidFill>
          <w14:schemeClr w14:val="tx1"/>
        </w14:solidFill>
      </w14:textFill>
    </w:rPr>
  </w:style>
  <w:style w:type="character" w:customStyle="1" w:styleId="157">
    <w:name w:val="标题 4 字符"/>
    <w:basedOn w:val="137"/>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8">
    <w:name w:val="标题 5 字符"/>
    <w:basedOn w:val="137"/>
    <w:link w:val="7"/>
    <w:semiHidden/>
    <w:qFormat/>
    <w:uiPriority w:val="9"/>
    <w:rPr>
      <w:rFonts w:asciiTheme="majorHAnsi" w:hAnsiTheme="majorHAnsi" w:eastAsiaTheme="majorEastAsia" w:cstheme="majorBidi"/>
      <w:color w:val="254061" w:themeColor="accent1" w:themeShade="80"/>
    </w:rPr>
  </w:style>
  <w:style w:type="character" w:customStyle="1" w:styleId="159">
    <w:name w:val="标题 6 字符"/>
    <w:basedOn w:val="137"/>
    <w:link w:val="8"/>
    <w:semiHidden/>
    <w:qFormat/>
    <w:uiPriority w:val="9"/>
    <w:rPr>
      <w:rFonts w:asciiTheme="majorHAnsi" w:hAnsiTheme="majorHAnsi" w:eastAsiaTheme="majorEastAsia" w:cstheme="majorBidi"/>
      <w:i/>
      <w:iCs/>
      <w:color w:val="254061" w:themeColor="accent1" w:themeShade="80"/>
    </w:rPr>
  </w:style>
  <w:style w:type="character" w:customStyle="1" w:styleId="160">
    <w:name w:val="标题 7 字符"/>
    <w:basedOn w:val="137"/>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1">
    <w:name w:val="标题 8 字符"/>
    <w:basedOn w:val="137"/>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2">
    <w:name w:val="标题 9 字符"/>
    <w:basedOn w:val="137"/>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63">
    <w:name w:val="Intense Quote"/>
    <w:basedOn w:val="1"/>
    <w:next w:val="1"/>
    <w:link w:val="164"/>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4">
    <w:name w:val="明显引用 字符"/>
    <w:basedOn w:val="137"/>
    <w:link w:val="163"/>
    <w:qFormat/>
    <w:uiPriority w:val="30"/>
    <w:rPr>
      <w:b/>
      <w:bCs/>
      <w:i/>
      <w:iCs/>
      <w:color w:val="4F81BD" w:themeColor="accent1"/>
      <w14:textFill>
        <w14:solidFill>
          <w14:schemeClr w14:val="accent1"/>
        </w14:solidFill>
      </w14:textFill>
    </w:rPr>
  </w:style>
  <w:style w:type="character" w:customStyle="1" w:styleId="165">
    <w:name w:val="不明显强调1"/>
    <w:basedOn w:val="137"/>
    <w:qFormat/>
    <w:uiPriority w:val="19"/>
    <w:rPr>
      <w:i/>
      <w:iCs/>
      <w:color w:val="808080" w:themeColor="text1" w:themeTint="80"/>
      <w14:textFill>
        <w14:solidFill>
          <w14:schemeClr w14:val="tx1">
            <w14:lumMod w14:val="50000"/>
            <w14:lumOff w14:val="50000"/>
          </w14:schemeClr>
        </w14:solidFill>
      </w14:textFill>
    </w:rPr>
  </w:style>
  <w:style w:type="character" w:customStyle="1" w:styleId="166">
    <w:name w:val="明显强调1"/>
    <w:basedOn w:val="137"/>
    <w:qFormat/>
    <w:uiPriority w:val="21"/>
    <w:rPr>
      <w:b/>
      <w:bCs/>
      <w:i/>
      <w:iCs/>
      <w:color w:val="4F81BD" w:themeColor="accent1"/>
      <w14:textFill>
        <w14:solidFill>
          <w14:schemeClr w14:val="accent1"/>
        </w14:solidFill>
      </w14:textFill>
    </w:rPr>
  </w:style>
  <w:style w:type="character" w:customStyle="1" w:styleId="167">
    <w:name w:val="不明显参考1"/>
    <w:basedOn w:val="137"/>
    <w:qFormat/>
    <w:uiPriority w:val="31"/>
    <w:rPr>
      <w:smallCaps/>
      <w:color w:val="C0504D" w:themeColor="accent2"/>
      <w:u w:val="single"/>
      <w14:textFill>
        <w14:solidFill>
          <w14:schemeClr w14:val="accent2"/>
        </w14:solidFill>
      </w14:textFill>
    </w:rPr>
  </w:style>
  <w:style w:type="character" w:customStyle="1" w:styleId="168">
    <w:name w:val="明显参考1"/>
    <w:basedOn w:val="137"/>
    <w:qFormat/>
    <w:uiPriority w:val="32"/>
    <w:rPr>
      <w:b/>
      <w:bCs/>
      <w:smallCaps/>
      <w:color w:val="C0504D" w:themeColor="accent2"/>
      <w:spacing w:val="5"/>
      <w:u w:val="single"/>
      <w14:textFill>
        <w14:solidFill>
          <w14:schemeClr w14:val="accent2"/>
        </w14:solidFill>
      </w14:textFill>
    </w:rPr>
  </w:style>
  <w:style w:type="character" w:customStyle="1" w:styleId="169">
    <w:name w:val="书籍标题1"/>
    <w:basedOn w:val="137"/>
    <w:qFormat/>
    <w:uiPriority w:val="33"/>
    <w:rPr>
      <w:b/>
      <w:bCs/>
      <w:smallCaps/>
      <w:spacing w:val="5"/>
    </w:rPr>
  </w:style>
  <w:style w:type="paragraph" w:customStyle="1" w:styleId="170">
    <w:name w:val="TOC 标题1"/>
    <w:basedOn w:val="3"/>
    <w:next w:val="1"/>
    <w:semiHidden/>
    <w:unhideWhenUsed/>
    <w:qFormat/>
    <w:uiPriority w:val="39"/>
    <w:pPr>
      <w:outlineLvl w:val="9"/>
    </w:pPr>
  </w:style>
  <w:style w:type="paragraph" w:customStyle="1" w:styleId="171">
    <w:name w:val="Front Heading"/>
    <w:qFormat/>
    <w:uiPriority w:val="0"/>
    <w:pPr>
      <w:keepNext/>
      <w:spacing w:before="180" w:after="200" w:line="276" w:lineRule="auto"/>
      <w:jc w:val="center"/>
    </w:pPr>
    <w:rPr>
      <w:rFonts w:ascii="Aptos Display" w:hAnsi="Aptos Display" w:eastAsia="等线" w:cstheme="minorBidi"/>
      <w:b/>
      <w:color w:val="000000"/>
      <w:sz w:val="32"/>
      <w:szCs w:val="22"/>
      <w:lang w:val="en-US" w:eastAsia="en-US" w:bidi="ar-SA"/>
    </w:rPr>
  </w:style>
  <w:style w:type="paragraph" w:customStyle="1" w:styleId="172">
    <w:name w:val="Lead"/>
    <w:qFormat/>
    <w:uiPriority w:val="0"/>
    <w:pPr>
      <w:spacing w:before="160" w:after="160" w:line="276" w:lineRule="auto"/>
    </w:pPr>
    <w:rPr>
      <w:rFonts w:ascii="Arial" w:hAnsi="Arial" w:eastAsia="微软雅黑" w:cstheme="minorBidi"/>
      <w:b/>
      <w:color w:val="203A5F"/>
      <w:sz w:val="24"/>
      <w:szCs w:val="22"/>
      <w:lang w:val="en-US" w:eastAsia="en-US" w:bidi="ar-SA"/>
    </w:rPr>
  </w:style>
  <w:style w:type="paragraph" w:customStyle="1" w:styleId="173">
    <w:name w:val="Figure Caption"/>
    <w:qFormat/>
    <w:uiPriority w:val="0"/>
    <w:pPr>
      <w:keepNext/>
      <w:spacing w:before="80" w:after="120" w:line="276" w:lineRule="auto"/>
      <w:jc w:val="center"/>
    </w:pPr>
    <w:rPr>
      <w:rFonts w:ascii="Times New Roman" w:hAnsi="Times New Roman" w:eastAsia="宋体" w:cstheme="minorBidi"/>
      <w:b/>
      <w:color w:val="666666"/>
      <w:sz w:val="18"/>
      <w:szCs w:val="22"/>
      <w:lang w:val="en-US" w:eastAsia="en-US" w:bidi="ar-SA"/>
    </w:rPr>
  </w:style>
  <w:style w:type="paragraph" w:customStyle="1" w:styleId="174">
    <w:name w:val="Source Note"/>
    <w:qFormat/>
    <w:uiPriority w:val="0"/>
    <w:pPr>
      <w:spacing w:before="80" w:after="120" w:line="276" w:lineRule="auto"/>
      <w:jc w:val="center"/>
    </w:pPr>
    <w:rPr>
      <w:rFonts w:ascii="Times New Roman" w:hAnsi="Times New Roman" w:eastAsia="宋体" w:cstheme="minorBidi"/>
      <w:color w:val="666666"/>
      <w:sz w:val="18"/>
      <w:szCs w:val="22"/>
      <w:lang w:val="en-US" w:eastAsia="en-US" w:bidi="ar-SA"/>
    </w:rPr>
  </w:style>
  <w:style w:type="paragraph" w:customStyle="1" w:styleId="175">
    <w:name w:val="Tool Label"/>
    <w:qFormat/>
    <w:uiPriority w:val="0"/>
    <w:pPr>
      <w:keepNext/>
      <w:spacing w:before="160" w:after="160" w:line="276" w:lineRule="auto"/>
    </w:pPr>
    <w:rPr>
      <w:rFonts w:ascii="Arial" w:hAnsi="Arial" w:eastAsia="微软雅黑" w:cstheme="minorBidi"/>
      <w:b/>
      <w:color w:val="E65322"/>
      <w:sz w:val="22"/>
      <w:szCs w:val="22"/>
      <w:lang w:val="en-US" w:eastAsia="en-US" w:bidi="ar-SA"/>
    </w:rPr>
  </w:style>
  <w:style w:type="paragraph" w:customStyle="1" w:styleId="176">
    <w:name w:val="Appendix Heading"/>
    <w:qFormat/>
    <w:uiPriority w:val="0"/>
    <w:pPr>
      <w:keepNext/>
      <w:pageBreakBefore/>
      <w:spacing w:before="360" w:after="180" w:line="276" w:lineRule="auto"/>
      <w:outlineLvl w:val="0"/>
    </w:pPr>
    <w:rPr>
      <w:rFonts w:ascii="Times New Roman" w:hAnsi="Times New Roman" w:eastAsia="黑体" w:cstheme="minorBidi"/>
      <w:b/>
      <w:color w:val="1B1C1D"/>
      <w:sz w:val="28"/>
      <w:szCs w:val="22"/>
      <w:lang w:val="en-US" w:eastAsia="en-US" w:bidi="ar-SA"/>
    </w:rPr>
  </w:style>
  <w:style w:type="paragraph" w:customStyle="1" w:styleId="177">
    <w:name w:val="Executive Heading"/>
    <w:qFormat/>
    <w:uiPriority w:val="0"/>
    <w:pPr>
      <w:keepNext/>
      <w:spacing w:before="240" w:after="120" w:line="276" w:lineRule="auto"/>
    </w:pPr>
    <w:rPr>
      <w:rFonts w:ascii="Times New Roman" w:hAnsi="Times New Roman" w:eastAsia="黑体" w:cstheme="minorBidi"/>
      <w:b/>
      <w:color w:val="1B1C1D"/>
      <w:sz w:val="24"/>
      <w:szCs w:val="22"/>
      <w:lang w:val="en-US" w:eastAsia="en-US" w:bidi="ar-SA"/>
    </w:rPr>
  </w:style>
  <w:style w:type="paragraph" w:customStyle="1" w:styleId="178">
    <w:name w:val="Reading Tip"/>
    <w:qFormat/>
    <w:uiPriority w:val="0"/>
    <w:pPr>
      <w:keepLines/>
      <w:spacing w:before="140" w:after="160" w:line="324" w:lineRule="auto"/>
    </w:pPr>
    <w:rPr>
      <w:rFonts w:ascii="Times New Roman" w:hAnsi="Times New Roman" w:eastAsia="宋体" w:cstheme="minorBidi"/>
      <w:color w:val="1B1C1D"/>
      <w:sz w:val="21"/>
      <w:szCs w:val="22"/>
      <w:lang w:val="en-US" w:eastAsia="en-US" w:bidi="ar-SA"/>
    </w:rPr>
  </w:style>
  <w:style w:type="paragraph" w:customStyle="1" w:styleId="179">
    <w:name w:val="Executive Lead"/>
    <w:basedOn w:val="1"/>
    <w:qFormat/>
    <w:uiPriority w:val="0"/>
    <w:pPr>
      <w:spacing w:before="40" w:after="120" w:line="324" w:lineRule="auto"/>
      <w:ind w:left="115" w:right="115"/>
    </w:pPr>
    <w:rPr>
      <w:rFonts w:ascii="宋体" w:hAnsi="宋体"/>
    </w:rPr>
  </w:style>
  <w:style w:type="paragraph" w:customStyle="1" w:styleId="180">
    <w:name w:val="Executive Label"/>
    <w:basedOn w:val="1"/>
    <w:qFormat/>
    <w:uiPriority w:val="0"/>
    <w:pPr>
      <w:keepNext/>
      <w:spacing w:before="140" w:after="60"/>
    </w:pPr>
    <w:rPr>
      <w:rFonts w:ascii="黑体" w:hAnsi="黑体" w:eastAsia="黑体"/>
      <w:b/>
      <w:color w:val="242424"/>
      <w:sz w:val="23"/>
    </w:rPr>
  </w:style>
  <w:style w:type="paragraph" w:customStyle="1" w:styleId="181">
    <w:name w:val="Summary Paragraph"/>
    <w:basedOn w:val="1"/>
    <w:qFormat/>
    <w:uiPriority w:val="0"/>
    <w:pPr>
      <w:spacing w:before="0" w:after="80" w:line="324" w:lineRule="auto"/>
    </w:pPr>
    <w:rPr>
      <w:rFonts w:ascii="宋体" w:hAnsi="宋体"/>
    </w:rPr>
  </w:style>
  <w:style w:type="paragraph" w:customStyle="1" w:styleId="182">
    <w:name w:val="Reading Route"/>
    <w:basedOn w:val="1"/>
    <w:qFormat/>
    <w:uiPriority w:val="0"/>
    <w:pPr>
      <w:spacing w:before="40" w:after="60" w:line="300" w:lineRule="auto"/>
      <w:ind w:left="115" w:right="115"/>
    </w:pPr>
    <w:rPr>
      <w:rFonts w:ascii="宋体" w:hAnsi="宋体"/>
    </w:rPr>
  </w:style>
  <w:style w:type="paragraph" w:customStyle="1" w:styleId="183">
    <w:name w:val="Appendix Guide"/>
    <w:basedOn w:val="1"/>
    <w:qFormat/>
    <w:uiPriority w:val="0"/>
    <w:pPr>
      <w:spacing w:after="40" w:line="300" w:lineRule="auto"/>
    </w:pPr>
    <w:rPr>
      <w:rFonts w:ascii="宋体" w:hAnsi="宋体"/>
      <w:sz w:val="20"/>
    </w:rPr>
  </w:style>
  <w:style w:type="paragraph" w:customStyle="1" w:styleId="184">
    <w:name w:val="修订1"/>
    <w:hidden/>
    <w:unhideWhenUsed/>
    <w:qFormat/>
    <w:uiPriority w:val="99"/>
    <w:rPr>
      <w:rFonts w:ascii="Times New Roman" w:hAnsi="Times New Roman" w:eastAsia="宋体" w:cstheme="minorBidi"/>
      <w:color w:val="1B1C1D"/>
      <w:sz w:val="21"/>
      <w:szCs w:val="22"/>
      <w:lang w:val="en-US" w:eastAsia="en-US" w:bidi="ar-SA"/>
    </w:rPr>
  </w:style>
  <w:style w:type="paragraph" w:customStyle="1" w:styleId="185">
    <w:name w:val="Report Quote"/>
    <w:qFormat/>
    <w:uiPriority w:val="0"/>
    <w:pPr>
      <w:spacing w:before="60" w:after="60" w:line="324" w:lineRule="auto"/>
      <w:ind w:left="425" w:right="227"/>
    </w:pPr>
    <w:rPr>
      <w:rFonts w:ascii="宋体" w:hAnsi="宋体" w:eastAsia="宋体" w:cs="Times New Roman"/>
      <w:color w:val="4C535C"/>
      <w:sz w:val="21"/>
      <w:lang w:val="en-US" w:eastAsia="zh-CN" w:bidi="ar-SA"/>
    </w:rPr>
  </w:style>
  <w:style w:type="character" w:customStyle="1" w:styleId="186">
    <w:name w:val="批注文字 字符"/>
    <w:basedOn w:val="137"/>
    <w:link w:val="17"/>
    <w:semiHidden/>
    <w:qFormat/>
    <w:uiPriority w:val="99"/>
    <w:rPr>
      <w:rFonts w:ascii="Aptos" w:hAnsi="Aptos" w:cstheme="minorBidi"/>
      <w:color w:val="1B1C1D"/>
      <w:sz w:val="21"/>
      <w:szCs w:val="22"/>
      <w:lang w:eastAsia="en-US"/>
    </w:rPr>
  </w:style>
  <w:style w:type="paragraph" w:customStyle="1" w:styleId="187">
    <w:name w:val="修订2"/>
    <w:hidden/>
    <w:unhideWhenUsed/>
    <w:qFormat/>
    <w:uiPriority w:val="99"/>
    <w:rPr>
      <w:rFonts w:ascii="Aptos" w:hAnsi="Aptos" w:eastAsia="宋体" w:cstheme="minorBidi"/>
      <w:color w:val="1B1C1D"/>
      <w:sz w:val="21"/>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1.xml"/><Relationship Id="rId7" Type="http://schemas.openxmlformats.org/officeDocument/2006/relationships/header" Target="head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3" Type="http://schemas.microsoft.com/office/2011/relationships/people" Target="people.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image" Target="media/image12.png"/><Relationship Id="rId18" Type="http://schemas.openxmlformats.org/officeDocument/2006/relationships/image" Target="media/image11.png"/><Relationship Id="rId17" Type="http://schemas.openxmlformats.org/officeDocument/2006/relationships/image" Target="media/image10.pn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47</Pages>
  <Words>20018</Words>
  <Characters>20850</Characters>
  <Lines>1016</Lines>
  <Paragraphs>1019</Paragraphs>
  <TotalTime>100</TotalTime>
  <ScaleCrop>false</ScaleCrop>
  <LinksUpToDate>false</LinksUpToDate>
  <CharactersWithSpaces>20952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2026-09-02T14:55:00Z</dcterms:created>
  <dc:creator>酷残未来研究院</dc:creator>
  <cp:keywords>无障碍, 导盲犬, 酒店, 服务犬, 行动研究</cp:keywords>
  <cp:lastModifiedBy>王玄</cp:lastModifiedBy>
  <cp:lastPrinted>2026-09-18T06:53:00Z</cp:lastPrinted>
  <dcterms:modified xsi:type="dcterms:W3CDTF">2026-09-20T17:07:19Z</dcterms:modified>
  <dc:subject>电话调查范围与正文结构修订</dc:subject>
  <dc:title>无障碍环境建设测评报告 导盲犬入住酒店</dc:title>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eyJoZGlkIjoiMDZmZmI2OWNlNTE1MGRmYjg0MGI3MGYzMDU4Yjk5MTkiLCJ1c2VySWQiOiI0NjY5NjgwMjEifQ==</vt:lpwstr>
  </property>
  <property fmtid="{D5CDD505-2E9C-101B-9397-08002B2CF9AE}" pid="3" name="KSOProductBuildVer">
    <vt:lpwstr>2052-12.1.0.28505</vt:lpwstr>
  </property>
  <property fmtid="{D5CDD505-2E9C-101B-9397-08002B2CF9AE}" pid="4" name="ICV">
    <vt:lpwstr>C462086E05C4413ECC59AB6AE4C56A40_43</vt:lpwstr>
  </property>
</Properties>
</file>